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730 vom 27. Oktober 2009</w:t>
      </w:r>
    </w:p>
    <w:p>
      <w:r>
        <w:t>VD Tribunal cantonal, 2009-10-27, FR</w:t>
      </w:r>
    </w:p>
    <w:p>
      <w:r>
        <w:rPr>
          <w:b/>
        </w:rPr>
        <w:t xml:space="preserve">Quelle: </w:t>
      </w:r>
      <w:r>
        <w:t>https://mcp.opencaselaw.ch/entscheid/vd_gerichte_730</w:t>
      </w:r>
    </w:p>
    <w:p>
      <w:r>
        <w:t>FR: VD_GERICHTE 730 du 27 octobre 2009</w:t>
      </w:r>
    </w:p>
    <w:p>
      <w:r>
        <w:t>IT: VD_GERICHTE 730 del 27 ottobre 2009</w:t>
      </w:r>
    </w:p>
    <w:p>
      <w:pPr>
        <w:pStyle w:val="Heading2"/>
      </w:pPr>
      <w:r>
        <w:t>Volltext</w:t>
      </w:r>
    </w:p>
    <w:p>
      <w:r>
        <w:t>TRIBUNAL CANTONAL 730 TRIBUNAL D ’ACCUS ATION _________________________________ Séance du 13 novembre 2009 __________________ Présidence de M. J.-F. MEYLAN, président Juges : MM. Krieger et Sauterel Greffière : Mme Brabis ***** Art. 59 al. 1, 295 let. b CPP Vu l'enquête n° PE09.008365-CHM instruite d'office par le Juge d'instruction de l'arrondissement de Lausanne contre A.R.________, V.________, G.________, M.________ et X.________ pour vol en bande et par métier, vu le mandat d'arrêt notifié à A.R.________ le 16 avril 2009, vu l'ordonnance du 27 octobre 2009, par laquelle le magistrat instructeur a rejeté la demande de mise en liberté d'A.R.________, vu le recours exercé en temps utile par le prénommé contre cette décision, vu les pièces du dossier; 301</w:t>
      </w:r>
    </w:p>
    <w:p>
      <w:r>
        <w:t>- 2 -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2ème éd., Zurich 2006, n. 841, p. 535); qu'en l'espèce, une centaine de vols de moteurs de bateau a été recensés dans le canton de Vaud depuis la fin de l'été 2008, qu'A.R.________ est soupçonné d'avoir participé aux vols précités avec d'autres comparses, que ce dernier a admis avoir commis plusieurs de ces vols (PV aud. 5, 8, 10, 34, 48, 53 et 57), qu'il a été inculpé de vol en bande et par métier (cf. PV aud. 10), que compte tenu de l'ensemble des éléments figurant au dossier, il existe contre A.R.________ des présomptions de culpabilité suffisantes; attendu que la décision attaquée se fonde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w:t>
      </w:r>
    </w:p>
    <w:p>
      <w:r>
        <w:t>- 3 -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A.R.________ a prétendu à plusieurs reprises s'être expliqué intégralement sur son activité délictueuse (PV aud. 48, 53), que toutefois, lors de sa dernière audition du 21 octobre 2009, il a admis avoir commis une dizaine de vols supplémentaires (PV aud. 57), qu'il a également reconnu, après l'avoir longuement nié, que son frère, B.R.________, a participé à quelques uns des vols susmentionnés (PV aud. 48), que ces éléments dénotent une absence de collaboration franche du prévenu, que, partant, il est hautement vraisemblable qu'il ne se soit pas totalement expliqué sur son activité délictueuse et n'ait pas révélé l'identité de toutes les personnes impliquées dans ces vols, qu'une centaine de vols de moteurs de bateau ayant été recensés, il est fort probable que d'autres personnes y ont participé, qu'une commission rogatoire internationale complémentaire à celle exécutée les 8 et 9 octobre 2009 en Serbie, s'est révélée nécessaire et a été adressée le 15 octobre aux autorité serbes (P. 226), que les enquêteurs vont prochainement exploiter les informations recueillies en Serbie, que le résultat de ces investigations pourrait être compromis si le recourant venait à être remis en liberté, qu'en outre, il faut éviter qu'A.R.________ contacte les autres participants aux vols ou soit contacté par ces derniers, que les nécessités de l'instruction font ainsi obstacle, en l'état, à la relaxation du recourant,</w:t>
      </w:r>
    </w:p>
    <w:p>
      <w:r>
        <w:t>- 4 - qu'au vu de ce qui précède, l'ordonnance est donc bien fondée sur la base de l'art. 59 al. 1 ch. 3 CPP; attendu que la proportionnalité de la détention doit être examinée au regard de l'ensemble des circonstances concrètes du cas d'espèce (ATF 133 I 168 c. 4.1 et les arrêts cités), qu'en l'espèce, A.R.________ est placé en détention préventive depuis le 16 avril 2009, soit depuis environ sept mois, qu'inculpé de vol en bande et par métier, il encourt une peine pécuniaire de 180 jours-amende au moins et de dix ans au plus (art. 139 ch. 3 CP), que, par conséquent, le principe de proportionnalité des intérêts en présence demeure respecté, compte tenu de la gravité de l'infraction reprochée au recourant et de la durée de la détention préventive déjà subie (ATF 132 I 21 c. 4.1; 128 I 149 c. 2.2; ATF 126 I 172 c. 5a);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d'A.R.________. IV. Déclare l'arrêt exécutoire. Le président : La greffière :</w:t>
      </w:r>
    </w:p>
    <w:p>
      <w:r>
        <w:t>- 5 - Du L'arrêt qui précède, dont la rédaction a été approuvée à huis clos, est notifié au conseil du recourant, ainsi qu’au Ministère public, par l'envoi d'une copie complète : - M. Laurent Gilliard, avocat (pour A.R.________).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