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703 vom 15. Oktober 2010</w:t>
      </w:r>
    </w:p>
    <w:p>
      <w:r>
        <w:t>VD Tribunal cantonal, 2010-10-15, FR</w:t>
      </w:r>
    </w:p>
    <w:p>
      <w:r>
        <w:rPr>
          <w:b/>
        </w:rPr>
        <w:t xml:space="preserve">Quelle: </w:t>
      </w:r>
      <w:r>
        <w:t>https://mcp.opencaselaw.ch/entscheid/vd_gerichte_703</w:t>
      </w:r>
    </w:p>
    <w:p>
      <w:r>
        <w:t>FR: VD_GERICHTE 703 du 15 octobre 2010</w:t>
      </w:r>
    </w:p>
    <w:p>
      <w:r>
        <w:t>IT: VD_GERICHTE 703 del 15 ottobre 2010</w:t>
      </w:r>
    </w:p>
    <w:p>
      <w:pPr>
        <w:pStyle w:val="Heading2"/>
      </w:pPr>
      <w:r>
        <w:t>Volltext</w:t>
      </w:r>
    </w:p>
    <w:p>
      <w:r>
        <w:t>TRIBUNAL CANTONAL 703 TRIBUNAL D ’ACCUS ATION _________________________________ Séance du 21 décembre 2010 ________________________ Présidence de M. MEYLAN, président Juges : MM. Krieger et Sauterel Greffière : Mme Brabis ***** Art. 260, 294 let. f CPP Vu l'enquête n° PE10.017238-ARS instruite par le Juge d'instruction de l'arrondissement de Lausanne contre A.L.________ pour vol commis au préjudice de familiers et dommages à la propriété, sur plainte de B.L.________, vu l'ordonnance du 15 octobre 2010, par laquelle le magistrat instructeur a prononcé un non-lieu en faveur de A.L.________ et laissé les frais à la charge de l'Etat, vu le recours exercé par A.L.________ contre cette décision, vu les pièces du dossier; attendu qu'en vertu de l'art. 301 al. 1 CPP, le recours doit être exercé dans les dix jours dès la notification de la décision attaquée, 301</w:t>
      </w:r>
    </w:p>
    <w:p>
      <w:r>
        <w:t>- 2 - qu'en l'espèce, l'ordonnance de non-lieu date du 15 octobre 2010, que le recours de A.L.________, daté du 8 décembre 2010, a été réceptionné le 13 décembre 2010, qu'après interpellation, A.L.________ a signé son recours et l'a à nouveau déposé en date du 16 décembre 2010, que le recours de A.L.________ est dès lors clairement tardif et doit être considéré comme irrecevable, qu'en outre, l'exigence d'un intérêt au recours, si elle ne résulte pas de l'art. 294 CPP, est cependant requise pour l'exercice de toute voie de droit (TF 1P.677/2006 du 24 octobre 2006 c. 2.3; ATF 129 III 689 c. 1.2; ATF 126 III 198 c. 2b), que le recourant doit avoir été matériellement lésé par la décision attaquée, c'est-à-dire atteint dans ses droits et non seulement dans ses intérêts de fait (ATF 129 III 689 c. 1.2; ATF 126 III 198 c. 2b), que les frais ayant été laissés à la charge de l'Etat, A.L.________ n'est aucunement lésée par l'ordonnance attaquée, que faute d'intérêt au recours, elle n'est pas habilitée à critiquer l'ordonnance de non-lieu rendue en sa faveur, que la recourante ne peut se plaindre des motifs de la décision attaquée, en ce qu'ils laisseraient planer un doute sur sa culpabilité ou que les faits ne seraient pas suffisamment éclaircis, que son recours, qui ne peut viser que le dispositif, à l'exclusion des motifs de l'ordonnance, est dès lors irrecevable également pour ce motif; attendu, en définitive, que le recours doit être écarté et l'ordonnance maintenue, que les frais du présent arrêt sont mis à la charge de la recourante (art. 307 CPP).</w:t>
      </w:r>
    </w:p>
    <w:p>
      <w:r>
        <w:t>- 3 - Par ces motifs, le Tribunal d'accusation, statuant à huis clos : I. Ecarte le recours. II. Maintient l'ordonnance. III. Dit que les frais d'arrêt, par 330 fr. (trois cent trente francs), sont mis à la charge de A.L.________. IV. Déclare l'arrêt exécutoire. Le président : La greffière : Du L'arrêt qui précède, dont la rédaction a été approuvée à huis clos, est notifié aux parties, ainsi qu’au Ministère public, par l'envoi d'une copie complète : - Mme A.L.________, - M. B.L.________. Il est communiqué en outre par l'envoi d'une copie complète à : - M. le Procureur général du canton de Vaud, - M. le Juge d'instruction cantonal.</w:t>
      </w:r>
    </w:p>
    <w:p>
      <w:r>
        <w:t>- 4 -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