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702 vom 17. November 2010</w:t>
      </w:r>
    </w:p>
    <w:p>
      <w:r>
        <w:t>VD Tribunal cantonal, 2010-11-17, FR</w:t>
      </w:r>
    </w:p>
    <w:p>
      <w:r>
        <w:rPr>
          <w:b/>
        </w:rPr>
        <w:t xml:space="preserve">Quelle: </w:t>
      </w:r>
      <w:r>
        <w:t>https://mcp.opencaselaw.ch/entscheid/vd_gerichte_702</w:t>
      </w:r>
    </w:p>
    <w:p>
      <w:r>
        <w:t>FR: VD_GERICHTE 702 du 17 novembre 2010</w:t>
      </w:r>
    </w:p>
    <w:p>
      <w:r>
        <w:t>IT: VD_GERICHTE 702 del 17 novembre 2010</w:t>
      </w:r>
    </w:p>
    <w:p>
      <w:pPr>
        <w:pStyle w:val="Heading2"/>
      </w:pPr>
      <w:r>
        <w:t>Volltext</w:t>
      </w:r>
    </w:p>
    <w:p>
      <w:r>
        <w:t>TRIBUNAL CANTONAL 702 TRIBUNAL D ’ACCUS ATION _________________________________ Séance du 23 décembre 2010 _______________________ Présidence de M. MEYLAN, président Juges : M. Sauterel et Mme Byrde Greffière : Mme de Watteville ***** Art. 275 CPP Vu l'enquête n° PE10.007197-VFE instruite par le Juge d'instruction de l'arrondissement de l'Est vaudois contre P.________ pour voies de fait, injure, menaces, contrainte, désagréments causés par la confrontation à un acte d'ordre sexuel, infraction à la LEtr (Loi fédérale du 16 décembre 2005 sur les étrangers, RS 142.20) et contravention à la LStup (Loi fédérale du 3 octobre 1951 sur les stupéfiants et les substances psychotropes, RS 812.121), d'office et sur plainte de D.________, vu l'ordonnance du 17 novembre 2010, par laquelle le magistrat instructeur a renvoyé P.________ devant le Tribunal de police de l'arrondissement de l'Est vaudois comme accusé des infractions précitées, 301</w:t>
      </w:r>
    </w:p>
    <w:p>
      <w:r>
        <w:t>- 2 - vu le recours exercé en temps utile par le prénommé contre cette décision, vu les pièces du dossier; attendu que P.________ conteste une partie des faits qui lui sont reprochés, que, plaidant le fond, il expose sa version des faits, que, l'enquête, suffisamment instruite, a toutefois révélé des indices de culpabilité justifiant que le recourant soit renvoyé en jugement sous les charges retenues contre lui par l'ordonnance attaquée (PV aud. 1 et 2; P. 4, 6, 11), que cette appréciation n'a pas à être motivée (art. 306 al. 3 CPP), que selon l'adage «in dubio pro duriore»,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 Par ces motifs, le Tribunal d'accusation, statuant à huis clos : I. Rejette le recours. II. Confirme l'ordonnance.</w:t>
      </w:r>
    </w:p>
    <w:p>
      <w:r>
        <w:t>- 3 - III. Dit que les frais d'arrêt, par 330 fr. (trois cent trente francs), sont mis à la charge de P.________. IV. Déclare l'arrêt exécutoire. Le président : La greffière : Du L'arrêt qui précède, dont la rédaction a été approuvée à huis clos, est notifié aux parties, ainsi qu’au Ministère public, par l'envoi d'une copie complète : - M. P.________, - Mme D.________. Il est également communiqué pour information par l'envoi d'une copie complète à : - Service de la population/ secteur étrangers (P.________, [...]).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