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692 vom 9. November 2010</w:t>
      </w:r>
    </w:p>
    <w:p>
      <w:r>
        <w:t>VD Tribunal cantonal, 2010-11-09, FR</w:t>
      </w:r>
    </w:p>
    <w:p>
      <w:r>
        <w:rPr>
          <w:b/>
        </w:rPr>
        <w:t xml:space="preserve">Quelle: </w:t>
      </w:r>
      <w:r>
        <w:t>https://mcp.opencaselaw.ch/entscheid/vd_gerichte_692</w:t>
      </w:r>
    </w:p>
    <w:p>
      <w:r>
        <w:t>FR: VD_GERICHTE 692 du 9 novembre 2010</w:t>
      </w:r>
    </w:p>
    <w:p>
      <w:r>
        <w:t>IT: VD_GERICHTE 692 del 9 novembre 2010</w:t>
      </w:r>
    </w:p>
    <w:p>
      <w:pPr>
        <w:pStyle w:val="Heading2"/>
      </w:pPr>
      <w:r>
        <w:t>Volltext</w:t>
      </w:r>
    </w:p>
    <w:p>
      <w:r>
        <w:t>TRIBUNAL CANTONAL 692 TRIBUNAL D ’ACCUS ATION _________________________________ Séance du 20 décembre 2010 __________________ Présidence de M. MEYLAN, président Juges : M. Krieger et Mme Byrde Greffier : M. Addor ***** Art. 275, 294 let. f CPP Vu l'enquête n° PE09.013716-MMR instruite par le Juge d'instruction de l'arrondissement de La Côte contre L.________ pour contrainte sexuelle et tentative de viol, d'office et sur plainte de V.________, vu l'ordonnance du 9 novembre 2010, par laquelle le magistrat instructeur a renvoyé L.________ devant le Tribunal correctionnel de l'arrondissement de La Côte comme accusé des infractions précitées, vu le recours exercé en temps utile par le prénommé contre cette décision, vu le mémoire de V.________, vu les pièces du dossier; 301</w:t>
      </w:r>
    </w:p>
    <w:p>
      <w:r>
        <w:t>- 2 - attendu que L.________ se plaint d'une instruction entièrement à charge et invoque une violation de la présomption d'innocence, qu'il reproche au juge d'instruction de ne pas avoir fait droit à sa réquisition tendant à l'audition d'un témoin, que son recours tend principalement à la mise en œuvre d'un complément d'enquête, que l'enquête, suffisamment instruite, a toutefois révélé des indices de culpabilité justifiant que le recourant soit renvoyé en jugement sous les charges retenues contre lui par l'ordonnance attaquée,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renouveler ses réquisitions, présenter sa version des faits et développer ses moyens de défense devant le tribunal correctionnel; attendu que le recourant demande que l'intimée soit soumise à une expertise de crédibilité, que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TACC, 27 septembre 2010/506), que ces conditions ne sont pas réalisées en l'espèce, aucun élément ne suggérant que l'intimée, qui est une jeune adulte, souffrirait de troubles psychiques ou que ses déclarations auraient été influencées par un tiers,</w:t>
      </w:r>
    </w:p>
    <w:p>
      <w:r>
        <w:t>- 3 - qu'il appartient au juge du fond, en vertu de son pouvoir d'appréciation, de se prononcer sur la crédibilité desdites déclarations;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L.________. IV. Déclare l'arrêt exécutoire. Le président : Le greffier : Du L'arrêt qui précède, dont la rédaction a été approuvée à huis clos, est notifié aux parties, ainsi qu’au Ministère public, par l'envoi d'une copie complète : - M. Alain-Valéry Poitry, avocat (pour L.________), - M. Bernard Katz, avocat (pour V.________).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