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629 vom 11. Oktober 2010</w:t>
      </w:r>
    </w:p>
    <w:p>
      <w:r>
        <w:t>VD Tribunal cantonal, 2010-10-11, FR</w:t>
      </w:r>
    </w:p>
    <w:p>
      <w:r>
        <w:rPr>
          <w:b/>
        </w:rPr>
        <w:t xml:space="preserve">Quelle: </w:t>
      </w:r>
      <w:r>
        <w:t>https://mcp.opencaselaw.ch/entscheid/vd_gerichte_629</w:t>
      </w:r>
    </w:p>
    <w:p>
      <w:r>
        <w:t>FR: VD_GERICHTE 629 du 11 octobre 2010</w:t>
      </w:r>
    </w:p>
    <w:p>
      <w:r>
        <w:t>IT: VD_GERICHTE 629 del 11 ottobre 2010</w:t>
      </w:r>
    </w:p>
    <w:p>
      <w:pPr>
        <w:pStyle w:val="Heading2"/>
      </w:pPr>
      <w:r>
        <w:t>Volltext</w:t>
      </w:r>
    </w:p>
    <w:p>
      <w:r>
        <w:t>TRIBUNAL CANTONAL 629 TRIBUNAL D ’ACCUS ATION _________________________________ Séance du 26 novembre 2010 __________________ Présidence de M. MEYLAN, président Juges : M. Krieger et Mme Byrde Greffier : M. Müller ***** Art. 275, 294 let. f CPP Vu l'enquête n° PE09.018945-NKS instruite d'office et sur diverses plaintes par le Juge d'instruction de l'arrondissement de l'Est vaudois contre K.________, pour lésions corporelles simples, voies de fait, vol, vol d'importance mineure, dommages à la propriété, injure, menaces, contrainte sexuelle, viol, subsidiairement actes d'ordre sexuel sur une personne incapable de discernement ou de résistance, violation simple des règles de la circulation et contravention à la LStup (Loi fédérale sur les stupéfiants, RS 812.121), vu l'ordonnance du 11 octobre 2010, par laquelle le magistrat instructeur a renvoyé le prénommé devant le Tribunal correctionnel de l'arrondissement de Lausanne comme accusé des infractions précitées, 301</w:t>
      </w:r>
    </w:p>
    <w:p>
      <w:r>
        <w:t>- 2 - vu le recours exercé en temps utile par K.________ contre cette décision, vu le mémoire d'[...], vu les pièces du dossier; attendu que le recourant se contente de remettre en cause certains éléments de l'ordonnance de renvoi, que, plaidant le fond, il expose sa version des faits, que l'enquête suffisamment instruite a cependant révélé des indices de culpabilité justifiant que le recourant soit renvoyé en jugement sous les charges retenues contre lui par l'ordonnance attaquée (Dossier C: PV aud. 1, P. 4, 5; Dossier F: PV aud. 1, 3, P. 5, 7, 12; Dossier G: PV aud. 1, 2, 4, P. 6, 14, 23, 24),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le recourant pourra présenter sa version des faits et développer ses moyens de défense devant le tribunal correctionnel, qu'il pourra également renouveler ces réquisitions devant cette autorité dans le délai prévu par l'art. 320 CPP; attendu, en définitive, que le recours est rejeté et l'ordonnance confirmée, que l'indemnité du défenseur d'office de K.________ est fixée à 360 fr., plus la TVA, par 27 fr. 35, soit 387 fr. 35, que les frais du présent arrêt, ainsi que l'indemnité allouée à son défenseur d'office sont mis à la charge du recourant (art. 307 CPP),</w:t>
      </w:r>
    </w:p>
    <w:p>
      <w:r>
        <w:t>- 3 - que le remboursement à l'Etat de cette indemnité ne sera toutefois exigible que pour autant que la situation économique de K.________ se soit améliorée, que l'indemnité du conseil d'office d'[...] est fixée à 220 francs, que le Code de procédure pénale ne prévoit toutefois pas de dépens alloués à la partie qui obtient gain de cause devant le Tribunal d'accusation (Bovay, Dupuis, Monnier, Moreillon, Piguet, Procédure pénale vaudoise, Bâle 2008, n. 6.3 ad art. 163 CPP, p. 182; JT 1962 III 64), qu'en conséquence, cette indemnité est laissée à la charge de l'Etat. Par ces motifs, le Tribunal d'accusation, statuant à huis clos : I. Rejette le recours. II. Confirme l'ordonnance. III. Fixe à 387 fr. 35 (trois cent huitante-sept francs et trente-cinq centimes) l'indemnité due au défenseur d'office de K.________. IV. Dit que les frais d'arrêt, par 330 fr. (trois cent trente francs), ainsi que l'indemnité due au défenseur d'office du recourant, par 387 fr. 35 (trois cent huitante-sept francs et trente-cinq centimes), sont mis à la charge de ce dernier. V. Dit que le remboursement à l'Etat de l'indemnité allouée au chiffre III ci-dessus sera exigible pour autant que la situation économique de K.________ se soit améliorée. VI. Fixe à 220 fr. (deux cent vingt francs) l'indemnité due au conseil d'office d'[...]. VII. Dit que l'indemnité due au conseil d'office d'[...], par 220 fr. (deux cent vingt francs), est laissée à la charge de l'Etat.</w:t>
      </w:r>
    </w:p>
    <w:p>
      <w:r>
        <w:t>- 4 - VIII. Déclare l'arrêt exécutoire. Le président : Le greffier : Du L'arrêt qui précède, dont la rédaction a été approuvée à huis clos, est notifié aux parties, ainsi qu’au Ministère public, par l'envoi d'une copie complète : - Mme Micaela Emma Vaerini Jensen, avocate (pour K.________), - Mme Julie Bertholet, avocate-stagiaire (pour [...]), - M. [...], - Mme [...], - [...], - Mme [...], - [...], - M. [...], - [...], - [...], -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w:t>
      </w:r>
    </w:p>
    <w:p>
      <w:r>
        <w:t>- 5 -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