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609 vom 22. März 2010</w:t>
      </w:r>
    </w:p>
    <w:p>
      <w:r>
        <w:t>VD Tribunal cantonal, 2010-03-22, FR</w:t>
      </w:r>
    </w:p>
    <w:p>
      <w:r>
        <w:rPr>
          <w:b/>
        </w:rPr>
        <w:t xml:space="preserve">Quelle: </w:t>
      </w:r>
      <w:r>
        <w:t>https://mcp.opencaselaw.ch/entscheid/vd_gerichte_609</w:t>
      </w:r>
    </w:p>
    <w:p>
      <w:r>
        <w:t>FR: VD_GERICHTE 609 du 22 mars 2010</w:t>
      </w:r>
    </w:p>
    <w:p>
      <w:r>
        <w:t>IT: VD_GERICHTE 609 del 22 marzo 2010</w:t>
      </w:r>
    </w:p>
    <w:p>
      <w:pPr>
        <w:pStyle w:val="Heading2"/>
      </w:pPr>
      <w:r>
        <w:t>Erwägungen</w:t>
      </w:r>
    </w:p>
    <w:p>
      <w:r>
        <w:rPr>
          <w:b/>
        </w:rPr>
        <w:t>E. 20</w:t>
      </w:r>
    </w:p>
    <w:p>
      <w:r>
        <w:t>juillet 2005 c. 6.1), que cette infraction est intentionnelle et suppose la volonté de tromper autrui dans le dessein d'améliorer sa situation ou celle d'autrui (ibidem), qu'en l'espèce, la recourante fait valoir que les déclarations d'impôts du couple, pour les années 2007 et 2008, ainsi que les bilans de [...] n'étaient pas exactes, que, selon elle, la comptabilité présenterait en effet des lacunes, que certaines factures auraient disparu, que, ce faisant, elle ne paraît pas reprocher à B.Q.________ une quelconque infraction, qu'à supposer qu'elle vise la commission par celui-ci d'un faux dans les titres ou dans les certificats, il faudrait constater qu'elle n'apporte aucun indice à cet égard, qu'en outre, même si les faits en cause étaient établis, les conditions posées par les art. 251 et 252 CP ne seraient pas réalisés, qu'au demeurant, les déclarations d'impôts du couple concernent la recourante elle-même, qui a dû les signer, que les éléments dont la recourante se prévaut ne sont donc pas de nature à justifier l'ouverture d'une enquête; attendu que la recourante fait ensuite valoir qu'il manque une partie des pièces comptables, qu'elles auraient été volées,</w:t>
      </w:r>
    </w:p>
    <w:p>
      <w:r>
        <w:t>- 5 - que ce point a déjà fait l'objet de l'ordonnance rendue le 22 mars 2010, qu'il n'y a pas d'élément nouveau, que la recourante fait certes état de vols survenus en avril-mai 2010 (P. 28, p. 2), qu'elle ne met cependant en cause aucune personne déterminée, que son mari n'avait plus accès au domicile conjugal, puisqu'elle en a obtenu la jouissance depuis 2009 par prononcé de mesures protectrices de l'union conjugale, que ces éléments ne sont donc pas non plus de nature à influer sur la détermination d'un point de fait; attendu enfin, que la recourante se plaint du fait que son mari a ouvert action en divorce en Pologne en trichant sur la date à laquelle il aurait quitté la Suisse, que ce comportement, à supposer qu'il soit réalisé, n'est pas pénalement répréhensible, qu'au vu de ce qui précède, faute d'indices et de faits nouveaux, c'est à juste titre que le juge d'instruction a refusé de rouvrir l'enquête PE09.019572-NKS; attendu, en définitive, que le recours est rejeté et l'ordonnance confirmée, que les frais d'arrêt sont mis à la charge de la recourante (art. 307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