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499 vom 17. November 2010</w:t>
      </w:r>
    </w:p>
    <w:p>
      <w:r>
        <w:t>VD Tribunal cantonal, 2010-11-17, FR</w:t>
      </w:r>
    </w:p>
    <w:p>
      <w:r>
        <w:rPr>
          <w:b/>
        </w:rPr>
        <w:t xml:space="preserve">Quelle: </w:t>
      </w:r>
      <w:r>
        <w:t>https://mcp.opencaselaw.ch/entscheid/vd_gerichte_499</w:t>
      </w:r>
    </w:p>
    <w:p>
      <w:r>
        <w:t>FR: VD_GERICHTE 499 du 17 novembre 2010</w:t>
      </w:r>
    </w:p>
    <w:p>
      <w:r>
        <w:t>IT: VD_GERICHTE 499 del 17 novembre 2010</w:t>
      </w:r>
    </w:p>
    <w:p>
      <w:pPr>
        <w:pStyle w:val="Heading2"/>
      </w:pPr>
      <w:r>
        <w:t>Erwägungen</w:t>
      </w:r>
    </w:p>
    <w:p>
      <w:r>
        <w:rPr>
          <w:b/>
        </w:rPr>
        <w:t>E. 5</w:t>
      </w:r>
    </w:p>
    <w:p>
      <w:r>
        <w:t>Le recourant conteste ensuite s'être rendu coupable de faux dans les titres. Il fait valoir qu'il n'avait pas, de facto, modifié les données des souscripteurs d'abonnements de téléphonie, celles-ci ayant été introduites dans l'ordinateur par les vendeurs complices, pas plus qu'il n'avait personnellement souscrit et signé un contrat contenant des données modifiées. a) La première question à trancher, d'office, est celle de savoir s'il y a eu faux dans les titres au sens de l'art. 251 CP, indépendamment de savoir qui doit être réputé l'auteur (direct), respectivement le coauteur, voire l'auteur médiat ou le complice de l'infraction éventuelle. L'art. 251 ch. 1 CP réprime non seulement la confection d'un titre faux ou la falsification d'un titre préexistant (faux matériel), mais aussi l'établissement d'un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(cf. TF du 24 février 2006, 6S.293/2005, dans : SJ 2006 I 309; ATF 126 IV 65, c. 2a, SJ 2000 I 511; ATF 125 IV 17, c. 2a/aa, JT 2002 IV 75; ATF 125 IV 273, c. 3a/aa, SJ 2000 I 157; ATF 123 IV 61, c. 5b et les arrêts cités, JT 1999 IV 3). Il est admis qu'un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w:t>
      </w:r>
    </w:p>
    <w:p>
      <w:r>
        <w:t>- 8 -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(SJ 2006 I 309 précité; ATF 126 IV 65, précité, c. 2a et les arrêts cités; ATF 123 IV 61, précité, c. 5b et les arrêts cités). Tel est le cas lorsque certaines assurances objectives garantissent aux tiers la véracité de la déclaration. Il en va ainsi de l'identité du cocontractant lorsque, comme en l'espèce, le nombre d'abonnements pouvant être conclus par un seul client est limité par l'opérateur. Or, précisément, la multiplication, par un même comparse, d'abonnements portant des éléments d'identification délibérément modifiés n'avait d'autre dessein que celui d'éluder la limite du nombre de contrats autorisés par souscripteur. Ainsi, chacun des contrats passés par ses comparses faisait constater faussement un élément qui avait une portée juridique, puisqu'il donnait l'impression à l'opérateur d'avoir affaire à un nouveau client. A contrario, pas plus de trois abonnements n'auraient pu être conclus par usager à défaut de contrefaçon. Il y a donc bien eu faux dans les titres au sens de l'art. 251 CP lors de la souscription de chaque contrat conclu sur la base d'éléments falsifiés. b) Cela étant, il est exact que le recourant n'a jamais personnellement souscrit un contrat comportant des éléments contrefaits, pas plus qu'il n'a modifié des données sur une contrat préalablement passé par un tiers. Aussi bien, c'était, in fine, les employés complices qui inséraient les données indûment modifiées dans l'ordinateur pour que le contrat vienne à chef. Il n'en reste pas moins qu'il est établi – l'accusé l'a du reste a admis – qu'il a agi avec des comparses dans le dessein de s'enrichir indûment par la souscription de ces contrats. La question topique est dès lors celle de savoir si le recourant a commis l'infraction réprimée à l'art. 251 CP nonobstant le fait qu'il n'avait pas procédé sous sa propre plume, ni même en prenant personnellement contact avec l'un au moins des opérateurs de téléphonie. Partant, le recourant ne pourrait, au</w:t>
      </w:r>
    </w:p>
    <w:p>
      <w:r>
        <w:t>- 9 - plus, avoir la qualité que de coauteur, voire de complice des infractions ici en cause.</w:t>
      </w:r>
    </w:p>
    <w:p>
      <w:r>
        <w:rPr>
          <w:b/>
        </w:rPr>
        <w:t>E. 6</w:t>
      </w:r>
    </w:p>
    <w:p>
      <w:r>
        <w:t>L'art. 25 CP, dont la note marginale est complicité, prévoit que la peine est atténuée à l’égard de quiconque a intentionnellement prêté assistance à l’auteur pour commettre un crime ou un délit. La situation spécifique du coauteur n'est pas régie expressément par la loi. Le coauteur est celui qui collabore de manière déterminante à la réalisation de l'infraction (ATF 120 IV 17, c. 2d, JT 1996 IV 125; ATF 118 IV 397, c. 2b, JT 1995 IV 50). Il intervient dans le déroulement de cette dernière de manière tout à fait volontaire et en partage les actes constitutifs avec le participant principal, sans pour autant avoir un rôle secondaire par rapport à lui. L'auteur principal et le coauteur ont tous deux une volonté délictueuse commune et une maîtrise collective sur le déroulement de l'infraction. Le coauteur doit apparaître comme l'un des participants principaux et sa collaboration doit être essentielle à la commission de l'infraction. Il n'est pas nécessaire d'avoir commis des actes d'exécution pour être qualifié de coauteur; en effet, celui qui commence à exécuter le comportement délictueux ou celui qui s'associe mentalement à l'acte est déjà considéré comme un coauteur (ATF 125 IV 134, SJ 2000 I 17). Il n'est donc pas nécessaire que ce dernier ait effectivement pris part à la commission de l'infraction ou qu'il ait pu l'influencer d'une manière certaine (Waknine, La participation, dans : La nouvelle partie générale du Code pénal suisse, Berne 2006, pp. 106-107). Pour qu'il y ait coactivité, il suffit ainsi que le participant fasse sienne l'intention de l'autre auteur. Etablis sous l'empire de l'ancien droit, ces principes n'en restent pas moins applicables sous l'angle du nouvel art. 25 CP (cf. Favre, Pellet et Stoudmann, Code pénal annoté, Lausanne 3ème éd. 2007, n. 1.2 ad art. 25 CP).</w:t>
      </w:r>
    </w:p>
    <w:p>
      <w:r>
        <w:rPr>
          <w:b/>
        </w:rPr>
        <w:t>E. 7</w:t>
      </w:r>
    </w:p>
    <w:p>
      <w:r>
        <w:t>En l'espèce, le recourant ne s'est pas contenté d'inciter des tiers à commettre l'infraction réprimée à l'art. 251 CP, ni même de leur prêter assistance, par exemple en se limitant à les renseigner sur la manière d'agir. Bien plutôt, il a été le concepteur et l'organisateur d'actes</w:t>
      </w:r>
    </w:p>
    <w:p>
      <w:r>
        <w:t>- 10 - perpétrés à grande échelle à son profit. Il a ainsi voulu les actes en question et leurs résultats en toute connaissance de cause et s'y est d'emblée pleinement associé. Aussi bien, c'est son énergie délictueuse qui, sans discontinuité et de manière déterminante, a été à l'origine des actes en question. Plus encore, les comparses avaient été choisis par le recourant en raison même de leur insolvabilité. Ils se trouvaient sous son emprise et n'avaient nullement pris l'initiative des infractions. Ils n'auraient dès lors, selon toute vraisemblance, pas agi s'il ne les y avait poussés. En d'autres termes, le recourant a fait siens tous les actes ayant, dans un rapport de causalité naturelle en fait et adéquate en droit, mené à la remise des téléphones par chacun des opérateurs en cause, ce qui lui a permis de faire main basse sur la plupart de ces appareils. Il les vendait ensuite à son profit, en plaçant lui-même les annonces puis en rétribuant ses comparses. Ceux-ci étaient dès lors ses subordonnés. Il doit donc être réputé coauteur, et non simple complice, des faux dans les titres perpétrés. En cette qualité, il encourt la même peine que l'auteur à défaut de tout motif d'atténuation de celle-ci (art. 25 CP, a contrario). Il y a dès lors lieu de confirmer le jugement entrepris également sur ce point.</w:t>
      </w:r>
    </w:p>
    <w:p>
      <w:r>
        <w:rPr>
          <w:b/>
        </w:rPr>
        <w:t>E. 8</w:t>
      </w:r>
    </w:p>
    <w:p>
      <w:r>
        <w:t>En conclusion, le recours doit être rejeté en application de l'art. 431 al. 2 CPP et le jugement confirmé. Vu l'issue du recours, les frais de deuxième instance, y compris l'indemnité allouée à son défenseur d'office, par 968 fr. 40, TVA comprise, sont mis à la charge du recourant (art. 450 al. 1 CPP). Le remboursement à l'Etat de l'indemnité due au défenseur d'office sera exigible pour autant que la situation économique du recourant se soit améliorée (ATF 135 I 91, c. 2.4, spéc. 2.4.3).</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