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489 vom 3. November 2010</w:t>
      </w:r>
    </w:p>
    <w:p>
      <w:r>
        <w:t>VD Tribunal cantonal, 2010-11-03, FR</w:t>
      </w:r>
    </w:p>
    <w:p>
      <w:r>
        <w:rPr>
          <w:b/>
        </w:rPr>
        <w:t xml:space="preserve">Quelle: </w:t>
      </w:r>
      <w:r>
        <w:t>https://mcp.opencaselaw.ch/entscheid/vd_gerichte_489</w:t>
      </w:r>
    </w:p>
    <w:p>
      <w:r>
        <w:t>FR: VD_GERICHTE 489 du 3 novembre 2010</w:t>
      </w:r>
    </w:p>
    <w:p>
      <w:r>
        <w:t>IT: VD_GERICHTE 489 del 3 novembre 2010</w:t>
      </w:r>
    </w:p>
    <w:p>
      <w:pPr>
        <w:pStyle w:val="Heading2"/>
      </w:pPr>
      <w:r>
        <w:t>Erwägungen</w:t>
      </w:r>
    </w:p>
    <w:p>
      <w:r>
        <w:rPr>
          <w:b/>
        </w:rPr>
        <w:t>E. 4</w:t>
      </w:r>
    </w:p>
    <w:p>
      <w:r>
        <w:t>CP ne doit pas dépasser 20% se calcule sur le total des deux peines cumulées, soit l'addition de la peine suspendue et de la peine ferme infligée à titre de sanction immédiate calculées en jours et non pas en francs (ATF 135 IV 188 c. 3.4.4, op. cit.; dans cet arrêt, la Haute Cour fixe la peine pécuniaire maximale à 135 jours amende sur une "peine d'ensemble adaptée à la faute" (schuldangemessenen Gesamtstrafe) de 675 jours, soit un cinquième de celle-ci (675 / 5 = 135)). c) Vu ce qui précède, le raisonnement effectué par W.________, selon lequel l'amende ne doit pas dépasser 1'200 fr. (soit le 20% de la peine suspendue calculée en francs) ne peut pas être suivi. Reste à examiner si, comme le soutient le recourant, l'amende apparaît disproportionnée. La quotité de la sanction s'apprécie en jours (art. 34 al. 1 CP), tandis que le montant du jour-amende est -comme celui de l'amende- fixé en tenant compte de la capacité contributive de l'accusé (art. 34 al. 2 et 106 al. 3 CP). L'amende poursuit le même but que la peine privative de liberté, soit l'amendement du coupable (Favre, Pellet, Stoudmann, Code pénal annoté, Lausanne 2007, n. 3.3. ad art. 106 CP, p. 295).</w:t>
      </w:r>
    </w:p>
    <w:p>
      <w:r>
        <w:t>- 13 - In casu, les deux peines cumulées totalisent 20 jours (soit, 15 jours-amende plus 5 jours de peine privative de liberté de substitution). En jours, l'amende infligée représente donc le quart de la peine globale (20/4 =5), soit un peu plus que le 20 pour-cent. D'après la jurisprudence, cette limite peut être dépassée pour des peines peu élevées (ATF 135 IV 188 c. 3.4.4 p. 191). Il faut donc se demander si la peine infligée à l'intéressé peut être considérée comme étant peu élevée. Le recourant répond par la négative à cette question, dès lors que "[…] l'on ne se trouve pas dans le système de l'amende d'ordre[…]" et "[…] qu'une amende de plusieurs milliers de francs représente une véritable sanction pénale[…]" (mémoire p. 4). En l'espèce, W.________ a été reconnu coupable d'une infraction grave à la loi sur la circulation routière au sens de l'art. 90 ch. 2 LCR (loi fédérale sur la circulation routière du 19 novembre 1958, RS 741.01). Cette disposition prévoit que celui qui, par une violation grave d’une règle de la circulation, aura créé un sérieux danger pour la sécurité d’autrui ou en aura pris le risque, sera puni d’une peine privative de liberté de trois ans au plus ou d’une peine pécuniaire. En l'occurrence, l'autorité de première instance a infligé au prévenu une peine pécuniaire de 15 jours-amende à 400 fr. le jour avec sursis pendant 4 ans. Une telle peine paraît peu élevée au vu des sanctions pouvant être prononcées lorsque, comme en l'espèce, le comportement de l'auteur tombe sous le coup de l'art. 90 ch. 2 LCR. La limite stricte des 20% pouvait donc être dépassée pour permettre à l'amende immédiate d'être suffisamment dissuasive. L'amende a donc été fixée de manière conforme au droit. Mal fondé, le recours en réforme doit également être rejeté. IV. En définitive, aucun des moyens invoqués par le recourant n'est retenu. Son recours ne peut dès lors qu'être rejeté en application de l’art. 431 al. 2 CPP et le jugement attaqué confirmé. Les frais de deuxième</w:t>
      </w:r>
    </w:p>
    <w:p>
      <w:r>
        <w:t>- 14 - instance seront supportés par W.________,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