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488 vom 29. Oktober 2010</w:t>
      </w:r>
    </w:p>
    <w:p>
      <w:r>
        <w:t>VD Tribunal cantonal, 2010-10-29, FR</w:t>
      </w:r>
    </w:p>
    <w:p>
      <w:r>
        <w:rPr>
          <w:b/>
        </w:rPr>
        <w:t xml:space="preserve">Quelle: </w:t>
      </w:r>
      <w:r>
        <w:t>https://mcp.opencaselaw.ch/entscheid/vd_gerichte_488</w:t>
      </w:r>
    </w:p>
    <w:p>
      <w:r>
        <w:t>FR: VD_GERICHTE 488 du 29 octobre 2010</w:t>
      </w:r>
    </w:p>
    <w:p>
      <w:r>
        <w:t>IT: VD_GERICHTE 488 del 29 ottobre 2010</w:t>
      </w:r>
    </w:p>
    <w:p>
      <w:pPr>
        <w:pStyle w:val="Heading2"/>
      </w:pPr>
      <w:r>
        <w:t>Erwägungen</w:t>
      </w:r>
    </w:p>
    <w:p>
      <w:r>
        <w:rPr>
          <w:b/>
        </w:rPr>
        <w:t>E. 1</w:t>
      </w:r>
    </w:p>
    <w:p>
      <w:r>
        <w:t>X.________, ressortissant soudanais né en 1979, sans profession ni domicile fixe, est arrivé en Suisse en 2006 pour y demander l’asile. Sa demande ayant été rejetée, il s’est vu signifier une interdiction d’entrée en Suisse du 8 février 2008 au 7 février 2013. Son casier judiciaire suisse comporte les deux condamnations suivantes : - le 2 juin 2006, par le Ministère public du canton de Genève, à vingt jours d’emprisonnement avec sursis pendant trois ans, sous déduction d’un jour de détention préventive, pour infraction à la loi fédérale sur les stupéfiants et à la loi fédérale sur le séjour et l’établissement des étrangers ; - le 15 décembre 2006, par le Juge d’instruction du Nord vaudois, à trois mois d’emprisonnement sous déduction de vingt-quatre jours de détention préventive, pour infraction à la loi fédérale sur les stupéfiants, peine partiellement complémentaire au jugement précité.</w:t>
      </w:r>
    </w:p>
    <w:p>
      <w:r>
        <w:t>- 4 -</w:t>
      </w:r>
    </w:p>
    <w:p>
      <w:r>
        <w:rPr>
          <w:b/>
        </w:rPr>
        <w:t>E. 2</w:t>
      </w:r>
    </w:p>
    <w:p>
      <w:r>
        <w:t>Malgré l’interdiction de demeurer en Suisse, l’accusé n’a plus quitté le pays hormis durant un court séjour au Soudan de l’été à l’automne 2009. Pour ces faits, il a été reconnu coupable par le tribunal d’infraction réitérée à la loi fédérale sur les étrangers pour séjour illicite en Suisse du 8 février 2008 à mi-2009 et de début novembre 2009 au 29 septembre 2010.</w:t>
      </w:r>
    </w:p>
    <w:p>
      <w:r>
        <w:rPr>
          <w:b/>
        </w:rPr>
        <w:t>E. 3</w:t>
      </w:r>
    </w:p>
    <w:p>
      <w:r>
        <w:t>Le recourant se plaint également de la peine infligée. a) Selon l’art. 47 al. 1 CP (Code pénal suisse du 21 décembre 1937, RS 311.0),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aCPP ; ATF 134 IV 17 c. 2.1 ; ATF 129 IV 6 c. 6.1 et les références citées ; TF 6B_861/2009 du 18 février 2010 c. 5.1 ; Bovay/Dupuis/Monnier/Moreillon/Piguet, op. cit., n. 1.4 ad art. 415 aCPP). b) A teneur de l'art. 41 al. 1 CP, une peine privative de liberté ferme de moins de six mois ne peut être prononcée que si les conditions</w:t>
      </w:r>
    </w:p>
    <w:p>
      <w:r>
        <w:t>- 7 - du sursis à l'exécution de la peine (art. 42 CP) ne sont pas réunies et s'il y a lieu d'admettre que ni une peine pécuniaire ni un travail d'intérêt général ne peuvent être exécutés. 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Selon le nouveau droit, il suffit qu'il n'y ait pas de pronostic défavorable. Le sursis est désormais la règle dont on ne peut s'écarter qu'en présence d'un pronostic défavorable (ATF 134 IV 1 c.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(TF 6B_587/2009 du 14 janvier 2010 c. 4.2). Le juge doit par ailleurs motiver sa décision de manière suffisante (cf. art. 50 CP) ; sa motivation doit permettre de vérifier s'il a été tenu compte de tous les éléments pertinents et comment ils ont été appréciés (ATF 134 IV 1 c. 4.2.1 ; TF 6B_103/2010 du 22 mars 2010 c. 1.1). c) En l’occurrence, le tribunal a renoncé à juste titre à ordonner un travail d’intérêt général ou une peine pécuniaire. En effet, compte tenu du statut de non-entrée en matière du recourant, lequel est de surcroît sans profession ni domicile fixe, seule une peine privative de liberté était envisageable. Le jugement doit également être confirmé lorsqu’il écarte l’octroi du sursis, au vu du pronostic clairement défavorable présenté par l’intéressé, qui se trouve en situation de récidive spéciale, n’a pas hésité à se livrer au commerce de stupéfiants dans son</w:t>
      </w:r>
    </w:p>
    <w:p>
      <w:r>
        <w:t>- 8 - pays d’accueil et n’envisage pas de devoir quitter le pays. C’est donc à bon droit que le tribunal a prononcé une peine privative de liberté ferme de moins de six mois. S’agissant de la quotité de la peine, le tribunal se méprend lorsqu’il tient compte du concours d’infractions, dès lors que les précédents délits commis par le recourant ont déjà fait l’objet de condamnations antérieures. Dans ces circonstances et même en présence d’une récidive spéciale et d’un séjour illicite de longue durée, une peine d’emprisonnement de cinq mois paraît excessivement sévère au regard de la peine maximale prévue par l’art. 115 al. 1 LEtr, ce d’autant plus que le tribunal a lui-même reconnu que la situation du recourant était peu enviable et révoqué le sursis accordé par le Ministère public du canton de Genève le 2 juin 2006. Le premier juge a ainsi abusé de son pouvoir d’appréciation, de sorte qu’il se justifie de réduire la peine infligée au condamné à trois mois d’emprisonnement.</w:t>
      </w:r>
    </w:p>
    <w:p>
      <w:r>
        <w:rPr>
          <w:b/>
        </w:rPr>
        <w:t>E. 4</w:t>
      </w:r>
    </w:p>
    <w:p>
      <w:r>
        <w:t>Il s’ensuit que le recours doit être partiellement admis et le jugement attaqué réformé en ce sens que le recourant est condamné à une peine privative de liberté de trois mois, sous déduction des jours de détention déjà subis. Vu la mesure dans laquelle le recourant a obtenu gain de cause, les frais de deuxième instance seront mis par moitié à sa charge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