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475 vom 30. November 2010</w:t>
      </w:r>
    </w:p>
    <w:p>
      <w:r>
        <w:t>VD Tribunal cantonal, 2010-11-30, FR</w:t>
      </w:r>
    </w:p>
    <w:p>
      <w:r>
        <w:rPr>
          <w:b/>
        </w:rPr>
        <w:t xml:space="preserve">Quelle: </w:t>
      </w:r>
      <w:r>
        <w:t>https://mcp.opencaselaw.ch/entscheid/vd_gerichte_475</w:t>
      </w:r>
    </w:p>
    <w:p>
      <w:r>
        <w:t>FR: VD_GERICHTE 475 du 30 novembre 2010</w:t>
      </w:r>
    </w:p>
    <w:p>
      <w:r>
        <w:t>IT: VD_GERICHTE 475 del 30 novembre 2010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Au vu de ce qui précède, le recours, mal fondé, doit être rejeté et le jugement attaqué confirmé. Vu l'issue du recours, les frais de deuxième instance, y compris l'indemnité allouée à son défenseur d'office, seront supportés par le recourant (art. 450 al. 1 CPP). Le remboursement à l'Etat de cette</w:t>
      </w:r>
    </w:p>
    <w:p>
      <w:r>
        <w:t>- 9 - indemnité sera exigible pour autant que la situation économique de l’intéressé se soit améliorée.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