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473 vom 15. September 2010</w:t>
      </w:r>
    </w:p>
    <w:p>
      <w:r>
        <w:t>VD Tribunal cantonal, 2010-09-15, FR</w:t>
      </w:r>
    </w:p>
    <w:p>
      <w:r>
        <w:rPr>
          <w:b/>
        </w:rPr>
        <w:t xml:space="preserve">Quelle: </w:t>
      </w:r>
      <w:r>
        <w:t>https://mcp.opencaselaw.ch/entscheid/vd_gerichte_473</w:t>
      </w:r>
    </w:p>
    <w:p>
      <w:r>
        <w:t>FR: VD_GERICHTE 473 du 15 septembre 2010</w:t>
      </w:r>
    </w:p>
    <w:p>
      <w:r>
        <w:t>IT: VD_GERICHTE 473 del 15 settembre 2010</w:t>
      </w:r>
    </w:p>
    <w:p>
      <w:pPr>
        <w:pStyle w:val="Heading2"/>
      </w:pPr>
      <w:r>
        <w:t>Erwägungen</w:t>
      </w:r>
    </w:p>
    <w:p>
      <w:r>
        <w:rPr>
          <w:b/>
        </w:rPr>
        <w:t>E. 3</w:t>
      </w:r>
    </w:p>
    <w:p>
      <w:r>
        <w:t>a) Les recourants s'en prennent à l'amende infligée à titre de sanction immédiate, dont la quotité leur paraît drastiquement et arbitrairement sévère. Ils considèrent qu'au vu de la "[…] situation de ménage, les deux amendes (…) s'avèrent manifestement trop lourdes et s'apparentent à une mesure de confiscation[…]" (sic; mémoire pp.2-3).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(voir ATF 129 IV 6 c. 6.1 p. 21; 127 IV 101 c. 2a p. 103; 117 IV</w:t>
      </w:r>
    </w:p>
    <w:p>
      <w:r>
        <w:t>- 6 - 112 c. 1, 116 IV 288 c. 2a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w:t>
      </w:r>
    </w:p>
    <w:p>
      <w:r>
        <w:rPr>
          <w:b/>
        </w:rPr>
        <w:t>E. 6</w:t>
      </w:r>
    </w:p>
    <w:p>
      <w:r>
        <w:t>Compte tenu de l'issue de la présente procédure, les frais de seconde instance, y compris l'indemnité due au défenseur d'office sont laissés à la charge de l'Etat.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