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435 vom 30. Juni 2010</w:t>
      </w:r>
    </w:p>
    <w:p>
      <w:r>
        <w:t>VD Tribunal cantonal, 2010-06-30, FR</w:t>
      </w:r>
    </w:p>
    <w:p>
      <w:r>
        <w:rPr>
          <w:b/>
        </w:rPr>
        <w:t xml:space="preserve">Quelle: </w:t>
      </w:r>
      <w:r>
        <w:t>https://mcp.opencaselaw.ch/entscheid/vd_gerichte_435</w:t>
      </w:r>
    </w:p>
    <w:p>
      <w:r>
        <w:t>FR: VD_GERICHTE 435 du 30 juin 2010</w:t>
      </w:r>
    </w:p>
    <w:p>
      <w:r>
        <w:t>IT: VD_GERICHTE 435 del 30 giugno 2010</w:t>
      </w:r>
    </w:p>
    <w:p>
      <w:pPr>
        <w:pStyle w:val="Heading2"/>
      </w:pPr>
      <w:r>
        <w:t>Erwägungen</w:t>
      </w:r>
    </w:p>
    <w:p>
      <w:r>
        <w:rPr>
          <w:b/>
        </w:rPr>
        <w:t>E. 2</w:t>
      </w:r>
    </w:p>
    <w:p>
      <w:r>
        <w:t>Appréciant les faits de la cause, le tribunal correctionnel a considéré qu'en s'appropriant sans droit des valeurs patrimoniales, l'accusée s'était rendue coupable d'abus de confiance. Déjà endettée et</w:t>
      </w:r>
    </w:p>
    <w:p>
      <w:r>
        <w:t>- 4 - sans autre source de revenus, elle ne pouvait, selon les premiers juges, qu'être consciente de ce qu'elle privait son employeur lésé de liquidités pour une certaine durée, même si elle se figurait rembourser ultérieurement ces sommes après en avoir affecté une partie dans des mises à la loterie ou au casino dans l'espoir de gagner au jeu.</w:t>
      </w:r>
    </w:p>
    <w:p>
      <w:r>
        <w:rPr>
          <w:b/>
        </w:rPr>
        <w:t>E. 3</w:t>
      </w:r>
    </w:p>
    <w:p>
      <w:r>
        <w:t>Appréciant la culpabilité de l'accusée, le tribunal correctionnel a retenu, à charge, son antécédent récent, s'agissant de surcroît d'une récidive spéciale d'infraction contre le patrimoine après 43 jours de détention préventive, le fait qu'elle avait trompé la confiance de ses collègues, ainsi que son absence de regrets et de proposition de remboursement avant l'audience de jugement. A décharge, les premiers juges ont pris en compte sa situation économique précaire, le stress professionnel intense qu'elle avait subi durant la période pendant laquelle les infractions avaient été commises, ses qualités professionnelles, ainsi que le mobile des détournements, soit d'assumer des dettes courantes ou en suspens et l'entretien de ses enfants, l'argent détourné n'ayant pas été dépensé de façon somptuaire. De plus, il a été tenu compte du fait que l'accusée avait immédiatement admis les faits, qu'elle avait signé une reconnaissance de dette en faveur de son ex-employeur en regrettant ses actes à l'audience et qu'elle avait effectué de nombreuses recherches d'emploi. Quant au genre de la peine, une peine privative de liberté a été préférée à une peine pécuniaire ou à un travail d'intérêt général dès lors que la peine pécuniaire prononcée par le Bezirksstatthalteramt de Liestal le 30 avril 2008 était demeurée vaine en termes de prévention. Pour ce qui est du sursis, le tribunal correctionnel n'a pas considéré qu'il existait des circonstances particulièrement favorables qui auraient permis de déroger au principe de l'art. 42 al. 2 CP. C. En temps utile, P.________ a recouru contre le jugement précité. Dans le délai imparti à cet effet, elle a déposé un mémoire concluant à la réforme du jugement, en ce sens, principalement, qu'elle est condamnée à</w:t>
      </w:r>
    </w:p>
    <w:p>
      <w:r>
        <w:t>- 5 - une peine de travail d'intérêt général de 360 heures avec sursis; subsidiairement qu'elle est condamnée à une peine de travail d'intérêt général de 360 heures; plus subsidiairement qu'elle est condamnée à une peine de travail d'intérêt général de 720 heures avec sursis; plus subsidiairement encore qu'elle est condamnée à une peine de travail d'intérêt général de 720 heures; plus subsidiairement encore qu'elle est condamnée à une peine privative de liberté ferme de moins de six mois. En d roit : 1. Saisie d'un recours en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De telles inadvertances ne sont pas données en l’espèce, pas plus que l'état de fait n'a à être complété. 2. La recourante conteste, outre le refus du sursis, tant le genre que la quotité de la peine. Il y a lieu de statuer sur le type de peine avant de déterminer son quantum et d'examiner les conditions du sursis. 3.1a)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- 6 - b)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129 IV 6, c. 6.1; ATF 127 IV 101, c. 2a; ATF 118 IV 21, c. 2b; cf. aussi notamment TF 6B_207/2007 du 6 septembre 2007).</w:t>
      </w:r>
    </w:p>
    <w:p>
      <w:r>
        <w:rPr>
          <w:b/>
        </w:rPr>
        <w:t>E. 3.2</w:t>
      </w:r>
    </w:p>
    <w:p>
      <w:r>
        <w:t>En l’espèce, les premiers juges ont apprécié la culpabilité de la recourante sur la base d'éléments divers, exposés à satisfaction et auxquels il suffit dès lors de renvoyer. Ce faisant, le tribunal n’a pas tenu compte d’éléments étrangers à l’art. 47 CP. Ceux pris en compte sont complets et pertinents. Au surplus, aucun élément déterminant au regard de l'art. 47 CP n'a été omis, respectivement ne s'est vu conférer une portée excessive ou insuffisante. La peine prononcée se situe dans le cadre légal. Une peine privative de liberté de six mois ne paraît nullement arbitrairement sévère, même si l’on tient compte de l'affectation des</w:t>
      </w:r>
    </w:p>
    <w:p>
      <w:r>
        <w:t>- 7 - sommes détournées, qui n'était pas somptuaire. En particulier, la recourante a agi quasiment dès son engagement temporaire, sans discontinuité durant une période de plusieurs mois incluant son engagement fixe ultérieur. Ce faisant, elle a utilisé un procédé informatique élaboré pour tromper la confiance de son employeur. Surtout, elle se trouvait en état de récidive spéciale, les détournements ayant commencé à être perpétrés sept semaines seulement après un premier jugement condamnant l'intéressée notamment pour des infractions contre le patrimoine; aussi bien, ni cette peine en elle-même ni les 43 jours de détention préventive subis n'ont-ils eu d'effet préventif. La peine ici prononcée est d'autant moins sévère que le tribunal correctionnel a expressément relevé avoir voulu en limiter la quotité pour permettre à l'accusée de la purger sous la forme d'arrêts domiciliaires si elle devait en remplir les conditions le moment venu. Le moyen déduit de la quotité de la peine doit dès lors être rejeté.</w:t>
      </w:r>
    </w:p>
    <w:p>
      <w:r>
        <w:rPr>
          <w:b/>
        </w:rPr>
        <w:t>E. 4</w:t>
      </w:r>
    </w:p>
    <w:p>
      <w:r>
        <w:t>La recourante conteste encore le genre de la peine. a) La nouvelle partie générale du Code pénal offre une palette étendue de sanctions et de possibilités de combinaisons de celles-ci entre elles. Conformément au principe de proportionnalité, lorsque plusieurs peines entrent en considération et paraissent sanctionner de manière équivalente la faute commise, il y a en règle générale lieu de choisir celle qui restreint le moins la liberté personnelle de l’intéressé, soit la peine pécuniaire. Le choix du type de la peine doit principalement tenir compte de l'adéquation d'une sanction déterminée, de ses effets sur le condamné et l'environnement social de ce dernier ainsi que de l'efficacité de la sanction dans l'optique de la prévention (cf. ATF 134 IV 82, c. 4.1 et la référence à Riklin, Neue Sanktionen und ihre Stellung im Sanktionensystem, in: Bauhofer/Bolle [Hrsg.], Reform der strafrechtlichen Sanktionen, Zurich 1994, p. 168; le même, Zur Revision des Systems der Hauptstrafen, ZstrR 117/1999, p. 259; TF arrêt 6B_541/2007 du 13 mai 2008; TF 6B_576/2008 du 28 novembre 2008, BJP 2009, 3; TF</w:t>
      </w:r>
    </w:p>
    <w:p>
      <w:r>
        <w:t>- 8 - 6B_109/2007 du 17 mars 2008 et 6B_541/2007 du 13 mai 2008). A titre de sanctions, le nouveau droit fait respectivement de la peine pécuniaire (art. 34 CP) et du travail d'intérêt général (art. 37 CP) la règle dans le domaine de la petite criminalité,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(ATF 134 IV 82, précité, c. 4.1).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d'arrêts, qui font obstacle à la socialisation de l'auteur, et de leur substituer d'autres sanctions (TF arrêt 6B_541/2007 du 13 mai 2008; ATF 134 IV 60, c. 4.3). b) En l’espèce, la recourante ne conclut pas au prononcé d'une peine pécuniaire en lieu et place de la peine privative de liberté. Bien plutôt, elle demande à être condamnée à une peine de travail d'intérêt général. La peine privative de liberté prononcée n'est pas de moins de six mois, mais de six mois; la doctrine considère néanmoins qu'une peine privative de liberté d'une telle durée est convertible (Viredaz, dans : Roth/Moreillon [éd.], Commentaire romand, Bâle 2009, n. 10 ad art. 37 CP, contra l'art. 37 al. 1 CP, a contrario). La durée de la peine prononcée, de 180 jours, représente 720 heures de travail d'intérêt général (cf. l'art. 39 al. 2 CP). L'exécution des longues peines de travail d'intérêt général, soit au-delà de 100 heures ou, en tout cas, de 200 heures posent de sérieux problèmes d'exécution, qui sont notoires. Il s'ensuit qu'une peine de travail d'intérêt général de 720 heures n'est pas concevable en pratique. En effet, la durée en question représentant 180 jours de travail à raison de quatre heures la journée (cf.</w:t>
      </w:r>
    </w:p>
    <w:p>
      <w:r>
        <w:t>- 9 - l'art. 39 al. 2 CP), on ne voit guère comment un tel quantum pourrait être effectué dans le délai de deux ans prévu par l'art. 38 CP (cf., quant à la même problématique, Tribunal cantonal NE, 20 octobre 2009, rés dans : BJP 2010 p. 38). De surcroît, une activité aussi concentrée priverait de facto la recourante de la possibilité de retrouver du travail, ce qui ne pourrait qu'entraver sa resocialisation. Quoi qu'il en soit, la situation d'ensemble de la recourante comporte des facteurs défavorables malgré les incontestables éléments à décharge retenus. Il en va ainsi, en particulier, de l'énergie délictueuse dont elle a fait preuve sans discontinuer dans le dessein de s'enrichir, ce en étant en situation de récidive spéciale. Partant, l'efficacité de la sanction dans l'optique de la prévention exige de toute façon que les infractions soient réprimées par une sanction revêtant la forme d'une peine privative de liberté, comme en ont décidé à bon droit les premiers juges une peine de travail d'intérêt général étant manifestement insuffisante, à l'instar du reste d'une peine pécuniaire. La conclusion tendant au prononcé d'une peine de travail d'intérêt général doit donc être rejetée.</w:t>
      </w:r>
    </w:p>
    <w:p>
      <w:r>
        <w:rPr>
          <w:b/>
        </w:rPr>
        <w:t>E. 5</w:t>
      </w:r>
    </w:p>
    <w:p>
      <w:r>
        <w:t>La recourante demande enfin que la peine requise soit assortie du sursis. Cette conclusion doit, malgré son imprécision, être comprise comme incluant la peine privative de liberté. a)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Il découle de l’art. 42 al. 2 CP que le sursis total est exclu sauf circonstances particulièrement favorables si, durant les cinq ans qui ont précédé l’infraction, l’auteur a été condamné à une peine privative de liberté de six mois au moins. Si le juge suspend totalement ou partiellement l’exécution d’une peine, il impartit au condamné un délai d’épreuve de deux à cinq</w:t>
      </w:r>
    </w:p>
    <w:p>
      <w:r>
        <w:t>- 10 - ans (art. 44 al. 1 CP). b)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(cf. ATF 134 IV 1, c. 4.2.1; TF 6B_648/2007 du 11 avril 2008, c. 3.2).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(cf. arrêt publié précité, c. 4.2.2; arrêt non publié précité, ibid.). Parmi les critères essentiels à l'établissement du pronostic, on doit citer les antécédents pénaux, le risque de récidive qui se fonde sur les antécédents, la socialisation ou le comportement au travail de l'auteur; la prise de conscience de la faute par l'auteur est également déterminante (Kuhn, dans : Roth/Moreillon [éd.], Commentaire romand, op. cit., n. 17 ad art. 42 CP). A cet égard, la prise de conscience de sa faute par l'auteur doit permettre d'augurer d'un changement d'attitude face à ses actes (TF 6B_171/2007 du 23 juillet 2007, c. 4, ). On relèvera enfin que, pour poser le pronostic, le juge de</w:t>
      </w:r>
    </w:p>
    <w:p>
      <w:r>
        <w:t>- 11 - répression dispose d'un large pouvoir d'appréciation. Il y a toutefois violation du droit fédéral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(ATF 119 IV 195, c. 3b et les arrêts cités). Les circonstances particulièrement favorables au sens de l'art. 42 al. 2 CP sont celles qui empêchent que l’infraction antérieure ne détériore le pronostic (cf. FF 1999 II p. 1855). Autrement dit, il s’agit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(TF 6B.433/2007 du 11 février 2008, c. 3.2; TF 6B.43/2007 du 12 novembre 2007, c. 3.4). c) En l'espèce, la recourante avait, moins de cinq ans avant le prononcé du jugement entrepris, été condamnée à une peine de 180 jours. L'art. 42 al. 2 CP est donc applicable. Partant, la peine privative de liberté ne peut être assortie du sursis que dans l'hypothèse de circonstances particulièrement favorables. Malgré quelques éléments contraires, de telles circonstances sont globalement données. En effet, la recourante est professionnellement qualifiée. Elle est décrite par les représentants de la plaignante eux- mêmes comme généreuse et disponible; aussi bien a-t-elle, après son licenciement, effectué de nombreuses recherches d'emploi. De surcroît, elle a, lors des faits ici en cause, agi alors qu'elle était soumise à un stress professionnel important, devant occuper deux emplois pour un taux d'activité global représentant plus qu'un temps plein. A ces éléments s'ajoute la circonstance qu'elle devait faire face à des dettes, courantes ou en suspens, relatives à son entretien et à celui de ses enfants; de fait, l'argent détourné n'a pas été utilisé à des fins somptuaires. Enfin,</w:t>
      </w:r>
    </w:p>
    <w:p>
      <w:r>
        <w:t>- 12 - l'accusée a immédiatement admis les faits incriminés et a manifesté quelques regrets, certes à l'audience seulement, signant une reconnaissance de dette en faveur de son ex-employeur. Dans leur ensemble, ces éléments témoignent d'une bonne socialisation, respectivement d'une aptitude à maintenir une telle socialisation dans l'avenir. Ils sont constitutifs de circonstances particulièrement favorables au sens de l'art. 42 al. 2 CP. Un pronostic favorable peut en être déduit, d'où le sursis. La durée du sursis doit être fixée au maximum légal. Il y a en revanche lieu de révoquer le sursis précédent (cf. l'art. 46 al. 1 CP) et d'ordonner l'exécution de la peine pécuniaire prononcée par le juge bâlois. La recourante succombant quant au principe de la punissabilité, il n'y a pas matière à suite de frais de première instance.</w:t>
      </w:r>
    </w:p>
    <w:p>
      <w:r>
        <w:rPr>
          <w:b/>
        </w:rPr>
        <w:t>E. 6</w:t>
      </w:r>
    </w:p>
    <w:p>
      <w:r>
        <w:t>Le recours doit donc être partiellement admis et le jugement réformé dans la mesure ci-dessus. Les frais de deuxième instance, y compris l'indemnité allouée au défenseur d'office de la recourante, par 500 fr., sont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