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434 vom 16. Juli 2010</w:t>
      </w:r>
    </w:p>
    <w:p>
      <w:r>
        <w:t>VD Tribunal cantonal, 2010-07-16, FR</w:t>
      </w:r>
    </w:p>
    <w:p>
      <w:r>
        <w:rPr>
          <w:b/>
        </w:rPr>
        <w:t xml:space="preserve">Quelle: </w:t>
      </w:r>
      <w:r>
        <w:t>https://mcp.opencaselaw.ch/entscheid/vd_gerichte_434</w:t>
      </w:r>
    </w:p>
    <w:p>
      <w:r>
        <w:t>FR: VD_GERICHTE 434 du 16 juillet 2010</w:t>
      </w:r>
    </w:p>
    <w:p>
      <w:r>
        <w:t>IT: VD_GERICHTE 434 del 16 luglio 2010</w:t>
      </w:r>
    </w:p>
    <w:p>
      <w:pPr>
        <w:pStyle w:val="Heading2"/>
      </w:pPr>
      <w:r>
        <w:t>Erwägungen</w:t>
      </w:r>
    </w:p>
    <w:p>
      <w:r>
        <w:rPr>
          <w:b/>
        </w:rPr>
        <w:t>E. 1</w:t>
      </w:r>
    </w:p>
    <w:p>
      <w:r>
        <w:t>L'accusé B.________, né en 1974, est sans emploi. Il bénéficie du revenu d'insertion à hauteur de 2'105 fr. 60 par mois. Son casier judiciaire est vierge. A Lausanne, le 11 décembre 2008 vers 2 h 35, une bagarre a opposé les co-accusés B.________ et S.________. Le jugement retient que les accusés avaient passé la soirée dans un établissement public lausannois, chacun à une table avec un groupe d'amis. Alors que le serveur avait déposé des boissons sur la table d'S.________ et de ses amis, B.________ est tombé sur cette table, bousculant la concubine de celui-là. A la suite de circonstances ultérieures, que l'instruction n'a pas permis de déterminer précisément, les accusés se sont retrouvés devant l'établissement pour en découdre. Le jugement ne retient pas que l'un aurait contraint l'autre à ce déplacement. Une altercation s'ensuivit. Lors de celle-ci, B.________ a poussé S.________, le faisant chuter à terre et déchirant son chandail. Le jugement précise que l'intervention de B.________ sur son co-accusé-ci est établie, notamment par l'audition de [...] le 23 février 2009 par la police.</w:t>
      </w:r>
    </w:p>
    <w:p>
      <w:r>
        <w:t>- 3 - Après s'être relevé, S.________ a porté de nombreux coups au visage de B.________, qui est à son tour tombé à terre. Il lui a encore asséné moult coups de pied, notamment au visage. Les deux intéressés étaient alcoolisés. B.________ présentait un taux d'alcoolémie de 2,31 o/oo. Les lésions subies par B.________ ont justifié une consultation le 11 décembre 2008 et ont été établies par avis médical du 15 décembre suivant. La victime a présenté des séquelles durant plusieurs mois. Un avis médical du 2 mars 2010 fait état d'une normalisation de son état. A l'audience, B.________ a pris des conclusions civiles à hauteur de 2'000 fr. à titre d'indemnité pour tort moral et de 1'000 fr. à titre de dépens pénaux.</w:t>
      </w:r>
    </w:p>
    <w:p>
      <w:r>
        <w:rPr>
          <w:b/>
        </w:rPr>
        <w:t>E. 2</w:t>
      </w:r>
    </w:p>
    <w:p>
      <w:r>
        <w:t>Se prévalant de l'art. 411 let. i CPP, le recourant excipe de la présomption d'innocence. Il fait valoir qu'aucun élément au dossier ne permettait au premier juge de retenir qu'il avait poussé S.________ et l'avait fait chuter. a) A cet égard, le jugement retient que l'intervention de l'accusé B.________ sur l'accusé S.________, qui a chuté, est établie, notamment par</w:t>
      </w:r>
    </w:p>
    <w:p>
      <w:r>
        <w:t>- 5 - l'audition de [...] le 23 février 2009 par la police. Le recourant est habilité à se fonder sur le procès-verbal en question, auquel le jugement se réfère expressément sans le citer. Le témoin en question, qui n'a du reste pas assisté au début de la dispute entre les accusés à l'extérieur de l'établissement, n'a pas décrit les faits retenus par le premier juge, pas plus qu'aucune déposition recueillie durant l'enquête ne permet d'imputer au recourant le rôle actif dans la rixe que lui impute le tribunal de police. En revanche, les lésions corporelles qui lui ont été infligées au plaignant et leurs séquelles sont établies par avis médicaux; de même, l'accusé S.________ a admis les faits. b) Dans la mesure où le recours en nullité est fondé sur l'art. 411 let. i CPP, la cour de céans peut revoir librement les faits (art. 433a CPP, précité). Comme le recourant a également pris des conclusions en réforme tendant à son acquittement, la cour de cassation peut statuer elle-même sur l'action pénale, les conclusions des parties et les frais et dépens (art. 444 al. 2 CPP, précité). L'état de fait du jugement doit être rectifié en ce sens qu'il n'est pas établi que le recourant ait poussé son antagoniste ni, partant, qu'il l'ait fait chuter. Il peut en revanche être retenu qu'il s'était agrippé au chandail du co-accusé et en avait ce faisant déchiré le tissu. Il s'agit tout au plus de dommages à la propriété, mais, faute d'aggravation aux débats, d'un recours du co-accusé S.________ ou du Ministère public, ce chef d'accusation ne peut pas être retenu, à supposer que l'élément intentionnel de l'infraction soit réalisé. Le recourant doit dès lors être libéré du chef d'accusation de voies de fait. Le jugement entrepris doit donc être réformé dans cette mesure. Partant, les moyens du recours déduits des art. 54 et 47 CP deviennent sans objet.</w:t>
      </w:r>
    </w:p>
    <w:p>
      <w:r>
        <w:rPr>
          <w:b/>
        </w:rPr>
        <w:t>E. 3</w:t>
      </w:r>
    </w:p>
    <w:p>
      <w:r>
        <w:t>Cela étant, il doit être statué sur la conclusion du recours tendant principalement à ce que les frais de la cause sont laissés à la</w:t>
      </w:r>
    </w:p>
    <w:p>
      <w:r>
        <w:t>- 6 - charge de l'Etat, subsidiairement à ce que seule une partie des frais, inférieure à 1'250 fr., est mise à la charge du recourant. a) Selon l’art. 415 al. 2 CPP, la voie du recours en réforme est ouverte notamment pour violation des règles de procédure concernant les frais et dépens. A teneur de l'art. 158 CPP,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w:t>
      </w:r>
    </w:p>
    <w:p>
      <w:r>
        <w:t>- 7 -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 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w:t>
      </w:r>
    </w:p>
    <w:p>
      <w:r>
        <w:rPr>
          <w:b/>
        </w:rPr>
        <w:t>E. 4</w:t>
      </w:r>
    </w:p>
    <w:p>
      <w:r>
        <w:t>En l'espèce, s'il n'a certes pas commis d'infraction, le recourant n'en a pas moins adopté un comportement civilement répréhensible. En effet, alors sous l'emprise de l'alcool, il a été à l'origine de la dispute, s'est rendu hors de l'établissement pour en découdre avec son antagoniste, s'est agrippé au chandail du co-accusé et en a ce faisant déchiré le tissu. Il est à l'origine de l'action pénale dans un rapport de</w:t>
      </w:r>
    </w:p>
    <w:p>
      <w:r>
        <w:t>- 8 - causalité. Il s'ensuit que le recourant, dont l'implication dans cette bagarre ne peut être niée, ne serait-ce que parce qu'il en est à l'origine, doit supporter une partie des frais de la cause. Cette part doit être arrêtée à 500 fr. au vu du degré de gravité du comportement civilement illicite, le recours étant admis également sur ce point. Le jugement entrepris doit donc être réformé dans cette mesure également.</w:t>
      </w:r>
    </w:p>
    <w:p>
      <w:r>
        <w:rPr>
          <w:b/>
        </w:rPr>
        <w:t>E. 5</w:t>
      </w:r>
    </w:p>
    <w:p>
      <w:r>
        <w:t>Le recourant demande enfin, comme partie civile, que des dépens pénaux, par 1'000 fr., lui soient alloués à la charge d'S.________. a) L'art. 97 let. a CPP prévoit que la partie civile peut demander dans ses conclusions qu'il lui soit alloué, notamment, des dépens pour ses frais d'intervention, tels qu'honoraires d'avocat, frais de déplacement ou perte de gain. L'art. 163 al. 1 CPP dispose que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Selon l'art. 163 al. 2 CPP, le sort des dépens est en principe réglé en même temps que celui des frais; les règles concernant les frais sont applicables par analogie b) La qualité de victime LAVI doit être reconnue au recourant. Celui-ci avait un intérêt civil au procès et était légitimé à recourir aux services d'un conseil professionnel pour défendre ses intérêts. Son co- accusé ayant été condamné pour les faits en relation avec les conclusions civiles articulées dans le procès pénal et un montant de 500 fr. ayant été alloué au plaignant au titre de réparation morale, les conditions posées à l'octroi de dépens en faveur du recourant sont réunies. A cet égard, le premier juge ne pouvait, comme il l'a fait, se limiter à donner acte au plaignant de ses réserves civiles pour le motif que la partie n'avait pas justifié de ses dépens pénaux. Il doit donc être statué sur la quotité des dépens pénaux.</w:t>
      </w:r>
    </w:p>
    <w:p>
      <w:r>
        <w:t>- 9 - Consulté en cours d'instruction, le conseil du recourant a assisté son plaignant jusqu'au terme de la procédure de première instance, même s'il n'a pas pris part à l'audience, la partie adverse n'étant pas assistée. Au vu de l'ampleur de la procédure et des opérations du conseil, des dépens pénaux à hauteur de 1'000 fr., conformément aux conclusions du recours, paraissent adéquats. Le recours doit ainsi être admis et jugement entrepris réformé dans cette mesure également.</w:t>
      </w:r>
    </w:p>
    <w:p>
      <w:r>
        <w:rPr>
          <w:b/>
        </w:rPr>
        <w:t>E. 6</w:t>
      </w:r>
    </w:p>
    <w:p>
      <w:r>
        <w:t>En définitive, le recours doit être admis partiellement et le jugement réformé dans la mesure décrite ci-dessus. Les frais de deuxième instance, y compris l'indemnité allouée au défenseur d'office du recourant, par 968 fr. 40, TVA comprise,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