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432 vom 17. Juni 2010</w:t>
      </w:r>
    </w:p>
    <w:p>
      <w:r>
        <w:t>VD Tribunal cantonal, 2010-06-17, FR</w:t>
      </w:r>
    </w:p>
    <w:p>
      <w:r>
        <w:rPr>
          <w:b/>
        </w:rPr>
        <w:t xml:space="preserve">Quelle: </w:t>
      </w:r>
      <w:r>
        <w:t>https://mcp.opencaselaw.ch/entscheid/vd_gerichte_432</w:t>
      </w:r>
    </w:p>
    <w:p>
      <w:r>
        <w:t>FR: VD_GERICHTE 432 du 17 juin 2010</w:t>
      </w:r>
    </w:p>
    <w:p>
      <w:r>
        <w:t>IT: VD_GERICHTE 432 del 17 giugno 2010</w:t>
      </w:r>
    </w:p>
    <w:p>
      <w:pPr>
        <w:pStyle w:val="Heading2"/>
      </w:pPr>
      <w:r>
        <w:t>Erwägungen</w:t>
      </w:r>
    </w:p>
    <w:p>
      <w:r>
        <w:rPr>
          <w:b/>
        </w:rPr>
        <w:t>E. 2</w:t>
      </w:r>
    </w:p>
    <w:p>
      <w:r>
        <w:t>Se prévalant de l’art. 411 let. i CPP, le recourant invoque une violation du principe in dubio pro reo. a) Selon l'art. 411 let. i CPP, le recours en nullité est ouvert s’il existe des doutes sur l’existence des faits admis et importants pour le jugement de la cause. L'existence d'un doute sur un fait au sens de cette disposition se confond avec la mise en cause d'une appréciation arbitraire des preuves qui s'y rapportent (Bersier, op. cit., p. 83). Une constatation de fait n'est pas arbitraire pour la seule raison que la version retenue par le juge ne coïncide pas avec celle de l’accusé ; encore faut-il que l'appréciation des preuves soit manifestement insoutenable, en contradiction flagrante avec la situation effective, qu'elle repose sur une inadvertance manifeste, ou encore qu'elle heurte de façon grossière le sentiment de la justice et de l'équité (ATF 134 V 53 c. 4.3). Il incombe au recourant de démontrer le caractère arbitraire de l’appréciation des preuves à laquelle s’est livré le premier juge (cf. art. 425 al. 2 let. c CPP). Un léger doute, un doute théorique ou encore abstrait ne suffit pas à entraîner l'annulation du jugement. Seul un doute concret, d'une certaine consistance, en d'autres termes un doute raisonnable, peut conduire à cette sanction. Tel n'est pas le cas lorsque le premier juge n'a méconnu aucun des éléments de l'instruction et que, pour fixer le point litigieux, on ne peut que s'en référer à son appréciation (Bovay et alii, op. cit., n. 11.3 et 11.6 ad art. 411 CPP et les références citées). Il ne suffit pas non plus qu'une solution différente puisse être tenue pour également concevable, ou apparaisse même préférable (ATF 135 V 2 c. 1.3 et les références citées ; TF 6B_870/2009 du 18 mars 2010, c. 1 et les références citées ; JT 2003 III 70 c. 2a et 2b ).</w:t>
      </w:r>
    </w:p>
    <w:p>
      <w:r>
        <w:t>- 8 - b) Selon le Tribunal fédéral, la présomption d'innocence, garantie par les art. 32 al. 1 Cst. (Constitution fédérale de la Confédération suisse du 18 avril 1999, RS 101) et 6 par. 2 CEDH (Convention du 4 novembre 1950 de sauvegarde des droits de l’homme et des libertés fondamentales, RS 0.101), ainsi que son corollaire, le principe in dubio pro reo, concernent tant le fardeau de la preuve que l'appréciation des preuves (ATF 120 Ia 31 c. 2c et les références citées ; TF 6B_908/2009 du</w:t>
      </w:r>
    </w:p>
    <w:p>
      <w:r>
        <w:rPr>
          <w:b/>
        </w:rPr>
        <w:t>E. 3</w:t>
      </w:r>
    </w:p>
    <w:p>
      <w:r>
        <w:t>La prescription de l’infraction et l’acquittement qu’elle emporte impliquent qu’il n’y a plus matière à condamnation à des dépens et que seule une partie des frais de première instance, à raison d’un quart, doit être supportée par le recourant, le solde étant laissé à la charge de l’Etat. Bien fondées, les conclusions du recourant à cet égard doivent donc être admises. IV. En définitive, le recours doit être admis et le jugement attaqué réformé en ce sens que X.________ est libéré du chef d’accusation de violation grave des règles de la circulation. Vu l’issue du recours, les frais de deuxième instance seront laissés à la charge de l'Etat (art. 450 al. 2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