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412 vom 9. September 2010</w:t>
      </w:r>
    </w:p>
    <w:p>
      <w:r>
        <w:t>VD Tribunal cantonal, 2010-09-09, FR</w:t>
      </w:r>
    </w:p>
    <w:p>
      <w:r>
        <w:rPr>
          <w:b/>
        </w:rPr>
        <w:t xml:space="preserve">Quelle: </w:t>
      </w:r>
      <w:r>
        <w:t>https://mcp.opencaselaw.ch/entscheid/vd_gerichte_412</w:t>
      </w:r>
    </w:p>
    <w:p>
      <w:r>
        <w:t>FR: VD_GERICHTE 412 du 9 septembre 2010</w:t>
      </w:r>
    </w:p>
    <w:p>
      <w:r>
        <w:t>IT: VD_GERICHTE 412 del 9 settembre 2010</w:t>
      </w:r>
    </w:p>
    <w:p>
      <w:pPr>
        <w:pStyle w:val="Heading2"/>
      </w:pPr>
      <w:r>
        <w:t>Erwägungen</w:t>
      </w:r>
    </w:p>
    <w:p>
      <w:r>
        <w:rPr>
          <w:b/>
        </w:rPr>
        <w:t>E. 29</w:t>
      </w:r>
    </w:p>
    <w:p>
      <w:r>
        <w:t>juillet 2010 (pièce 67/2) tempère d'ailleurs l'optimisme de l'avis précédent en observant d'emblée que "le séjour de M.________ [pouvait] se distinguer en deux périodes : de son arrivée à décembre 2009 et de janvier à son départ"; il relève en outre que "dès la rentrée 2010" l'évolution avait été défavorable sur tous les plans, tant en ce qui concerne la "vie quotidienne au Foyer" que s'agissant des "aspects professionnels". Au vu de la description du recourant par l'éducateur Y.________, c'est à tort que l'intéressé soutient que ce second rapport était propre à influencer "la quotité de la peine [et] l'octroi du sursis" et qu'"en n'en tenant absolument pas compte, les premiers juges se sont fondés sur un état de faits insuffisant et lacunaire". C'est d'ailleurs en vain que l'éducateur susmentionné estime que les perspectives d'insertion du recourant "sont directement liées à sa consommation de cannabis", étant donné que les experts ont relevé que l'accusé n'était "pas dépendant de substances nocives au sens médical" (jugt, p. 16, par. 4). Au demeurant, les arguments de M.________ sont d'ordre purement appellatoire, celui-ci se bornant à substituer sa propre version des faits à celle retenue par le tribunal sans expliquer en quoi ce dernier se serait trompé et aurait fait preuve d'arbitraire. Le prénommé ne remet en cause ni le rapport de comportement rédigé par la Direction de la prison de la Croisée, document d'ailleurs établi à la demande de l'accusé (cf. pièce 67), ni le contenu de l'expertise; il critique uniquement la motivation donnée par les premiers juges à l'appui de leur conviction quant aux faits. Or, comme on l'a relevé ci-avant, ladite motivation ne</w:t>
      </w:r>
    </w:p>
    <w:p>
      <w:r>
        <w:t>- 11 - constitue pas comme telle des faits importants au sens de l'art. 411 let. h CPP. Pour le surplus, les conclusions des experts sont détaillées et cohérentes et ne prêtent pas le flanc à la critique. L'expertise remplit les critères jurisprudentiels pour avoir pleine valeur probante. Les renseignements quant au risque de récidive de l'accusé et à l'utilité éventuelle d'une mesure qui en résulte étant complets, c'est sans arbitraire que le tribunal ne s'est pas davantage prononcé sur le contenu des deux rapports produits par le recourant. Le moyen est mal fondé et doit donc être rejeté. 2. a) M.________ fait encore valoir que les premiers juges ont omis de prendre en considération le courrier qu'il avait adressé à la Fondation T.________ (pièce 67/3). b) Le prénommé a tort. Il ressort de la page 18 in initio du jugement attaqué que le recourant et son comparse K.________ "ont eu la visite du directeur de la fondation T.________ et se disent tous deux désireux d'intégrer cet établissement, le directeur étant disposé à les accueillir". Cette constatation présuppose que M.________ ait entrepris une démarche auprès de ladite fondation afin que celle-ci s'intéresse à lui. Il importe donc peu que le tribunal ne fasse pas expressément référence au courrier susmentionné. L'argument de l'intéressé selon lequel il aurait "réellement conscience de ses problèmes" n'est pas pertinent, tout comme le fait qu'il ait "été recommandé par Mme [...]", comme il l'écrit en page 2 de son courrier. Est bien plutôt déterminant le fait que le recourant ne s'intègre pas "dans un cadre" (jugt, p. 20), car c'est là une condition posée par tout foyer. Or, il ressort du rapport de la Direction de la prison de la Croisée du 19 août 2010 et donc postérieur au courrier précité que M.________ ne souhaitait toujours pas "intégrer les unités de vie" de la prison (pièce 76).</w:t>
      </w:r>
    </w:p>
    <w:p>
      <w:r>
        <w:t>- 12 - Ce comportement est d'autant plus inquiétant qu'aux débats, l'accusé a expliqué qu'il préférait "avoir la paix dans sa cellule plutôt que de vivre avec les autres" (jugt, p. 17, par. 1 in fine). Dans ces conditions, c'est en vain que le recourant affirme, sur la seule base du courrier qu'il a adressé à la Fondation T.________, qu'il "a entrepris des démarches actives pour endiguer ses problèmes" et que "ce document est ainsi propre à influencer sur l'octroi du sursis". Mal fondé, le moyen tiré de l'art. 411 let. h CPP doit dès lors être rejeté et, avec lui, le recours en nullité.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 2. a) M.________ invoque une violation de l'art. 47 CP. Il estime que les premiers juges ont abusé de leur pouvoir d'appréciation en lui infligeant une peine privative de liberté de trois ans. Il conclut à ce que la peine fixée soit réduite.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- 13 -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ATF 129 IV 6, c. 6.1; 128 IV 73, c. 3b; 127 IV 101, c. 2c; 123 IV 150, c. 2a; 122 IV 241, c. 1a; 118 IV 21, c. 2a; 116 IV 288, c. 2b). c) En l'espèce, les premiers juges ont considéré que la culpabilité de M.________ était "écrasante". Au moment de fixer la peine, le tribunal a fait état de plusieurs éléments à charge et à décharge du prénommé (jugt, p. 18, c. 6.b). D'une part, il a tenu compte des antécédents de l'accusé (jugt, p. 7). Il a ensuite souligné que celui-ci avait été impliqué dans les deux cas les plus graves, commettant deux brigandages en peu de temps, et qu'il avait récidivé en cours d'enquête, "après avoir subi une première période de détention préventive". Sous l'angle de la gravité de la faute, les premiers juges ont relevé que le</w:t>
      </w:r>
    </w:p>
    <w:p>
      <w:r>
        <w:t>- 14 - recourant avait commis ces deux brigandages "avec une violence et une détermination inversément proportionnelles au butin obtenu" (jugt, p. 20), "violence d'ailleurs d'une intensité supérieure à ce qui eût été nécessaire pour briser la résistance de [ses victimes]" (jugt, p. 10), et qu'il n'avait témoigné d'aucune prise de conscience de la gravité de ses actes, n'hésitant pas à "minimiser son comportement" et à rejeter la faute sur ses comparses (jugt, pp. 10 et 13). Ils ont encore précisé que l'intéressé refusait "de travailler et d'intégrer une unité de vie". Le tribunal a enfin retenu que M.________ avait exercé "un ascendant évident sur K.________, plus jeune et moins intelligent que lui et sur son amie de l'époque, en recherche d'affection et de modèle" (jugt, p. 18 in fine). Sur ce dernier point, le recourant fait valoir à juste titre que K.________ est en réalité un peu plus âgé que lui. Toutefois, l'erreur sur l'âge des deux coaccusés est de peu de poids au regard des autres éléments susmentionnés. Au surplus, le tribunal ne s'est pas basé uniquement sur l'âge des deux intéressés "pour fonder la nature influente du recourant", contrairement à ce que celui-ci prétend (recours, p. 6). En effet, le tribunal a clairement retenu, ce qui lie la cour de céans, que M.________ et son amie avaient "conçu le projet d'abord et en [avaient] parlé à K.________, qui apparaissait comme un suiveur" (jugt, p. 10). A cela s'ajoute que ce dernier "fait un peu moins que son âge" (pièce 74, p. 7) et présente "un fonctionnement intellectuel limite", ce qui n'est pas le cas de M.________ (jugt, p. 17). Sur la base de ces éléments, les premiers juges ont à bon droit retenu que le recourant avait été le meneur de la bande, ce qui a d'ailleurs également été le cas s'agissant du brigandage perpétré au préjudice d'A.________ le 18 juillet 2009 (cf. jugt, p. 12, c. 3.a). M.________ répond en outre de la circonstance aggravante d'un concours d'infractions. Or, on relèvera que retenues en concours, les infractions dont il s'est rendu coupable pourraient lui valoir une sanction maximale de quinze ans de peine privative de liberté, conformément à l'art. 49 al. 1 CP.</w:t>
      </w:r>
    </w:p>
    <w:p>
      <w:r>
        <w:t>- 15 - D'autre part, le tribunal a retenu en faveur du recourant "un parcours de vie très difficile, une enfance chaotique, des carences affectives certaines et une légère diminution de responsabilité". M.________ soutient que les premiers juges n'ont "absolument pas tenu compte de l'effet d'une peine sur son avenir". Le prénommé se réfère au rapport d'Y.________. Sur le plan professionnel, ses "compétences" (recours, p. 7; pièce 67/2) sont reconnues pour autant qu'il ait envie de travailler et de s'intégrer dans un cadre, ce qui ne semble pas être le cas. En effet, il ressort clairement de la décision attaquée que l'accusé n'a entrepris aucune formation professionnelle à ce jour, que la détention préventive subie en 2009 ne l'a pas dissuadé de commettre un autre brigandage, qu'il a adopté une "attitude oppositionnelle, qui a été vue (…) par la prison de la Croisée par le refus de travailler et d'intégrer une unité de vie" (jugt, p. 20 in initio), comme on l'a relevé ci-avant lors de l'examen du recours en nullité, et qu'il est allé jusqu'à déclarer, lors des débats, préférer "avoir la paix dans sa cellule plutôt que de vivre avec les autres". Dans ces circonstances, le recourant affirme à tort que la peine prononcée entraverait sa socialisation. De surcroît, le tribunal n'a cependant pas ignoré l'effet de la peine sur l'avenir de l'intéressé, dans la mesure où il a ordonné un traitement en détention afin qu'il puisse "évoluer et changer" (jugt, p. 20 in medio). Partant, la cour de céans estime que la peine privative de liberté de trois ans n'est pas arbitrairement sévère. Le tribunal n'a dès lors pas outrepassé son large pouvoir d'appréciation. L'examen des divers éléments précités montre en effet que les premiers juges ne sont pas sortis du cadre légal en fixant la peine, puisqu'ils ne se sont pas fondés sur des critères étrangers à l'art. 47 CP. En outre, il n'apparaît pas que ladite peine, encore modérée, soit de nature à entraver l'évolution de M.________; elle ne peut, au contraire, que l'encourager à se socialiser. Par conséquent, le moyen tiré d'une violation de l'art. 47 CP est mal fondé et doit être rejeté.</w:t>
      </w:r>
    </w:p>
    <w:p>
      <w:r>
        <w:t>- 16 - 3. a) Le recourant invoque enfin une fausse application des art. 42 et 43 CP. Le moyen précédent étant rejeté et le maximum légal de vingt-quatre mois prévu à l'art. 42 al. 1 CP étant dépassé, la question du sursis ordinaire ne se pose pas. Il y a lieu en revanche d'examiner la question du sursis partiel mentionné à l'art. 43 CP. b) Selon l’article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 cit.). Pour statuer sur la suspension partielle de l’exécution d’une peine, le juge doit tenir compte de façon appropriée de la faute de l’auteur. Selon la jurisprudence du Tribunal fédéral, cette notion de faute</w:t>
      </w:r>
    </w:p>
    <w:p>
      <w:r>
        <w:t>- 17 - correspond à la culpabilité telle que définie à l’art. 47 al. 2 CP (TF 6B_103/2007 du 12 novembre 2007, c. 4.2.3). c) En l'espèce, M.________ invoque une nouvelle fois les deux rapports des éducateurs du foyer du V.________ (pièces 67/1 et 67/2) et le courrier qu'il a adressé à la Fondation T.________ (pièce 67/3) pour affirmer, d'une part, "qu'il possède les compétences nécessaires pour réussir une formation professionnelle de type CFC" et, d'autre part, "qu'il a conscience de la gravité de ses actes et qu'il entend se donner les moyens pour se soigner". Or, ces éléments ont été discutés et écartés dans le cadre de l'examen du recours en nullité et de la quotité de la peine, de sorte qu'il convient de se référer entièrement au ch. II.1/c, II.2/b et III.2/c ci-avant. Au surplus, c'est à juste titre que le tribunal a retenu un pronostic défavorable et a refusé d'octroyer au prénommé un sursis. Premièrement, il a constaté que celui-ci n'avait pas craint, après une première période de détention avant jugement et sachant qu'il allait répondre du brigandage perpétré le 18 juillet 2009, de commettre, seulement huit mois plus tard, un second brigandage. Deuxièmement, l'accusé n'a fait preuve d'aucune "introspection" ni d'amendement (jugt, p. 20). Troisièmement, selon les experts, le pronostic actuel reste réservé; le recourant a adopté "une attitude négative face à tout ce qui est perçu comme une mesure de contrôle" et refuse même de se soumettre à un traitement psychiatrique (jugt, p. 16 in fine), bloquant ainsi toute évolution de son comportement. Dans ces conditions, il n'apparaît pas que l'exécution d'une partie de la peine sera suffisante pour détourner M.________ de la commission de nouvelles infractions. Le pronostic est donc entièrement défavorable, ce qui exclut également le sursis partiel. Par conséquent, le moyen est mal fondé et doit être rejeté.</w:t>
      </w:r>
    </w:p>
    <w:p>
      <w:r>
        <w:t>- 18 - 4. Les griefs invoqués ci-dessus devant être rejetés, la requête de mise en liberté immédiate devient sans objet. 5. Enfin, le tribunal a retenu que M.________ s'était rendu coupable de contravention à la LStup au sens de l'art. 19a ch. 1 de cette loi, l'infraction étant partiellement prescrite pour la période antérieure au 9 septembre 2007 (jugt, p. 12). Les premiers juges ont ainsi condamné le prénommé pour "contravention LStup", comme cela ressort clairement du chiffre premier du dispositif du jugement. On rappellera à cet égard que dans le cadre de la nouvelle législation, l'amende devient la peine ordinaire unique en matière de contraventions, ces dernières n'étant plus passibles de privation de liberté; le nouveau droit leur applique donc le mode de fixation moins astreignant de l'art. 106 al. 3 CP (Maire, Les peines pécuniaires, in Kuhn, Moreillon, Viredaz et Bichovsky, La nouvelle partie générale du Code pénal suisse, Berne 2006, p. 173). A ce titre, elle ne constitue pas une peine de même genre que les peines principales que sont la privation de liberté, la peine pécuniaire et le travail d'intérêt général (CCASS, 18 juin 2007, n° 150; CCASS, 7 mai 2007, n° 90). Par conséquent, l'amende infligée pour une contravention ne peut être intégrée dans la peine fixée globalement en application de l'art. 49 al. 1 CP et doit dès lors être prononcée cumulativement. En l'occurrence, la cour de céans constate que le tribunal a omis d'infliger, en sus de la privation de liberté, une amende à l'accusé, l'art. 19a ch. 1 LStup prévoyant d'ailleurs expressément une telle peine. Or, à défaut de recours du Ministère public, on ne saurait examiner l'hypothèse d'une aggravation de la peine et réformer ainsi le jugement sur ce point (art. 448 al. 3 CPP).</w:t>
      </w:r>
    </w:p>
    <w:p>
      <w:r>
        <w:t>- 19 - IV. En définitive, le recours de M.________ doit être rejeté et le jugement confirmé, en application de l'art. 431 al. 2 CPP. Vu l'issue du recours, les frais de deuxième instance, y compris l'indemnité allouée à son défenseur d'office par 550 fr.,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