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406 vom 3. September 2010</w:t>
      </w:r>
    </w:p>
    <w:p>
      <w:r>
        <w:t>VD Tribunal cantonal, 2010-09-03, FR</w:t>
      </w:r>
    </w:p>
    <w:p>
      <w:r>
        <w:rPr>
          <w:b/>
        </w:rPr>
        <w:t xml:space="preserve">Quelle: </w:t>
      </w:r>
      <w:r>
        <w:t>https://mcp.opencaselaw.ch/entscheid/vd_gerichte_406</w:t>
      </w:r>
    </w:p>
    <w:p>
      <w:r>
        <w:t>FR: VD_GERICHTE 406 du 3 septembre 2010</w:t>
      </w:r>
    </w:p>
    <w:p>
      <w:r>
        <w:t>IT: VD_GERICHTE 406 del 3 settembre 2010</w:t>
      </w:r>
    </w:p>
    <w:p>
      <w:pPr>
        <w:pStyle w:val="Heading2"/>
      </w:pPr>
      <w:r>
        <w:t>Erwägungen</w:t>
      </w:r>
    </w:p>
    <w:p>
      <w:r>
        <w:rPr>
          <w:b/>
        </w:rPr>
        <w:t>E. 4</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w:t>
      </w:r>
    </w:p>
    <w:p>
      <w:r>
        <w:t>- 14 - (JT 1989 III 105). Il a été vu, sous l'angle de la nullité, que de telles inadvertances ne sont pas données en l’espèce, pas plus que l'état de fait n'a à être complété, sous réserve d'un ajout portant sur la quotité des prestations de l'assurance-chômage perçues par le recourant (cf. c. 7a ci- dessous). 5.a) Aux termes de l'art. 146 al. 1 CP, sera puni de la réclusion pour cinq ans au plus ou de l'emprisonnement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b) Le comportement délictueux consiste à tromper autrui et à l'amener ainsi à un ou plusieurs actes préjudiciables à ses intérêts pécuniaires ou à ceux d'un tiers. Il faut donc une tromperie motivante qui, selon l'art. 146 al. 1 CP, peut se présenter sous trois formes, à savoir des affirmations fallacieuses, la dissimulation de faits vrais et le fait de conforter autrui dans l'erreur (Corboz, Les infractions en droit suisse, vol. I, Berne 2002, n. 1 à 15 ad art. 146 CP, pp. 300-304). Lorsque l'auteur affirme faussement qu'un fait n'existe pas ou présente une vision tronquée de la réalité, il s'agit d'une infraction par commission. Si l'on admet que la tromperie peut également consister en une omission, il faudrait que l'auteur ait eu l'obligation de parler découlant d'une position de garant (Corboz, op. cit., n. 10 ad art. 146 CP, p. 302). Ainsi un devoir de parler découlant de la loi, du contrat ou de la bonne foi est nécessaire. Le devoir découlant de la bonne foi suppose néanmoins un rapport créant une confiance accrue se rapprochant de la position de garant (ibid.). La jurisprudence a toutefois affirmé qu'il n'y avait pas d'obligation générale, lors d'un emprunt, de révéler sa situation financière précaire (ATF 86 IV 205). Pour qu'il y ait escroquerie, il ne suffit pas qu'il y ait tromperie, encore faut-il qu'elle soit astucieuse. La jurisprudence s'est efforcée de</w:t>
      </w:r>
    </w:p>
    <w:p>
      <w:r>
        <w:t>- 15 - dresser une liste de circonstances qui confèrent à la tromperie un caractère astucieux (Corboz, op. cit. n. 16 à 23 ad art. 146 CP, pp. 304- 306). Ainsi, il y a astuce lorsque l'auteur recourt à des manœuvres frauduleuses, à une mise en scène comportant des documents ou des actes ou à un échafaudage de mensonges qui se recoupent de façon si raffinée que même une victime critique se laisserait tromper (ATF 126 IV 171, c. 2a; ATF 122 II 429, c. cc; ATF 120 IV 133; ATF 119 IV 35, c. 3). Il y a également astuce si la dupe n'a pas la possibilité de vérifier ou si des vérifications seraient trop difficiles et que l'auteur exploite cette situation (cf. notamment ATF 126 IV précité; ATF 125 IV 127, c. 3a; ATF 122 II 427, c. a; ATF 122 IV 248), ou si, en fonction des circonstances, une vérification ne pouvait pas être exigée de la dupe (cf. notamment ATF 126 IV précité; ATF 122 II précité). Il y a astuce si l'auteur exploite un rapport de confiance préexistant qui dissuade la dupe de vérifier (cf. notamment ATF 126 IV précité; ATF 125 IV précité) ou si l'auteur empêche ou dissuade la dupe de procéder à une vérification (cf. notamment ATF 126 IV précité; ATF 125 IV précité; ATF 122 IV précité). Il y a astuce enfin si la dupe, en raison de sa situation personnelle, n'est pas en état de procéder à une vérification et que l'auteur exploite cette situation (ATF 126 IV précité; ATF 125 IV précité; ATF 120 IV 188, c. 1a).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w:t>
      </w:r>
    </w:p>
    <w:p>
      <w:r>
        <w:t>- 16 - telle que l'auteur la connaît et l'exploite (ATF 128 IV 18, précité; 125 IV 124, précité; 120 IV 186, c. 1a). L'escroquerie implique en outre que l'erreur ait déterminé la dupe à disposer de son patrimoine; il faut ainsi un acte de disposition effectué par la dupe et un lien de motivation entre cet acte et l'erreur (ATF 128 IV 255, c. 2). Sur le plan subjectif, il faut que l'auteur ait agi dans le dessein de se procurer ou de procurer à un tiers un enrichissement illégitime. En général, l'enrichissement de l'auteur (ou du tiers) correspond à l'appauvrissement de la victime; il s'agit de l'envers et de l'avers de la même médaille (Corboz, op. cit., n. 40 et 41 ad art. 146 CP et les références citées). N'importe quel avantage patrimonial suffit (Corboz, op. cit., n. 14 ad art. 138 CP, pp. 226-227, et les références citées; Stratenwerth/Jenny, Schweizerisches Strafrecht, Besonderer Teil I, 6e éd. 2003, § 13 n. 33 p. 270 s.). L'enrichissement peut consister dans le seul fait d'avoir l'usage d'une chose (Corboz, op. cit., n. 41 ad art. 146 CP, p. 309). Enfin, l'infraction est consommée lorsque survient le dommage, soit l'appauvrissement de la victime, sans qu'il soit nécessaire qu'il y ait enrichissement effectif de l'auteur (ATF 119 IV 210, c. 4b; Corboz, op. cit., n. 43 ad art. 146 CP, p. 310, et les références citées). En d'autres termes, il suffit que ce dernier ait agi dans un dessein d'enrichissement illégitime, un résultat correspondant n'étant pas une condition de l'infraction (cf., sur tous ces points, CCASS, 30 juin 2008, n° 250). 6.a) En réforme, le recourant fait d'abord grief aux premiers juges d'une fausse application de l'art. 146 CP. Sous cet angle, il leur reproche en premier lieu d'avoir pris en compte d'autres périodes que celle de l'octroi des prestations de l'assurance-chômage, soit du 1er décembre 2000 au 30 octobre 2001. Ce moyen est infirmé par les faits, attendu, précisément, que le recourant a été libéré du solde de l'incrimination pénale, afférent à d'autres périodes. b) Toujours sous l'angle de la qualification des faits, le recourant</w:t>
      </w:r>
    </w:p>
    <w:p>
      <w:r>
        <w:t>- 17 - fait valoir en deuxième lieu qu'il n'est pas établi qu'il avait exercé une activité lucrative durant toute la période considérée, pas plus qu'il ne peut être retenu qu'il était le bénéficiaire des sommes qui avaient transité sur ses comptes. Dès lors, il n'y aurait, selon lui, pas d'escroquerie faute d'enrichissement, de même qu'il n'y aurait pas eu d'appauvrissement de la dupe, aussi vrai que la CVCI n'a pas déposé plainte. En particulier, il fait valoir que, dès lors que les premiers juges n'ont, sous l'angle de l'art. 163 CP, pas retenu que les montants ayant transité sur les comptes dissimulés étaient sa propriété, ils ne sauraient statuer différemment en application de l'art. 146 CP. Avant d'examiner si les éléments constitutifs de l'escroquerie sont réalisés pour ce qui est des procédés ayant permis au recourant de percevoir des prestations d'assurance du 1er décembre 2000 au 31 octobre 2001, il convient, a contrario, d'examiner les motifs de sa libération à raison d'autres faits. S'il a été libéré du chef d'accusation d'escroquerie pour avoir obtenu des prestations d'aide sociale, c'est parce que, selon le dénonciateur, le droit auxdites prestations aurait en principe pu exister nonobstant l'exercice d'activité lucratives durant la période considérée, s'agissant d'une aide soumise à limite de revenu. Pour ce qui est du chef d'accusation de fraude dans la saisie (art. 163 CP), il est certes établi que le recourant a menti à l'office des poursuites, mais, vu les incertitudes affectant le dossier, le tribunal correctionnel n'a pu déterminer si les montants qui avaient transité sur les comptes cachés de l'accusé lui appartenaient ou pas. L'existence d'un actif du débiteur n'a ainsi pu être établie, d'où la libération de l'intéressé à raison de ce chef d'accusation. 7.a) Cela étant, pour ce qui est de l'escroquerie retenue au préjudice de l'assurance-chômage, si l'accusé est parvenu à capter les prestations en cause, c'est, comme l'ont retenu les premiers juges, en échafaudant un édifice de mensonges à l'égard de l'administration.</w:t>
      </w:r>
    </w:p>
    <w:p>
      <w:r>
        <w:t>- 18 - Le fait essentiel est que l'intéressé a exercé des activités lucratives du 1er décembre 2000 au 30 octobre 2001 et qu'il a sciemment dissimulé ce fait aux autorités administratives (notamment à la gestionnaire de son dossier au sein de l'ORP), ce qui lui a permis de toucher des prestations d'assurance. La tromperie est donc avérée. Pour ce qui est de la condition de l'astuce, le recourant a, d'une part, produit des courriers attestant de la résiliation de ses fonctions de directeur des deux sociétés anonymes dont il était organe, alors même qu'il a continué à exercer une activité lucrative au sein [...], puis sous une raison individuelle dans le même domaine, immédiatement depuis le mois d'octobre 2000 , puis tout au long de l'année 2001. L'auteur ne s'est donc pas limité à de fausses allégations orales, mais a produit des titres à l'appui de ses mensonges, formulés non seulement oralement mais encore par écrit (cf. ses lettres à l'ORP des 2 février et 4 avril 2001). Plus encore, il s'est avancé à annoncer la reprise d'une activité lucrative (indépendante) pour mars-avril 2001 alors qu'il en exerçait déjà au moins une. De tels procédés, récurrents dans les fraudes à l'assurance-chômage, doivent être qualifiés d'édifices de mensonges ou de manœuvres frauduleuses constitutifs les uns et les autres d'astuce (cf. Rubin, Assurance-chômage, 2ème éd., Zurich/ Bâle/Genève 2006, not. p. 962, avec référence à ATF 118 IV 359, 119 IV 28 et 125 IV 127, c. 3a). La condition de l'astuce est donc également réalisée. En outre, il doit être déduit des faits que l'auteur a agi dans un dessein d'enrichissement, soit dans celui de capter des prestations en espèces indues. Son procédé ayant abouti au versement des prestations convoitées, il s'est enrichi à hauteur d'icelles. D'où le préjudice causé à la caisse de chômage. Dans cette mesure, l'état de fait du jugement doit être complété en application de l'art. 433a CPP en ce sens que la contre-valeur des indemnités s'élève à 38'500 fr. environ de l'aveu même du recourant (mémoire, p. 11). Les éléments constitutifs de l'escroquerie sont ainsi réunis.</w:t>
      </w:r>
    </w:p>
    <w:p>
      <w:r>
        <w:t>- 19 - C'est donc à juste titre que le recourant a été condamné en application de l'art. 146 CP. La question du concours d'infractions éventuel avec les normes pénales de la LACI ne relève pas de la présente procédure. b) Partant, le moyen que tente de déduire le recourant de sa libération du chef d'accusation de l'art. 163 CP tombe à faux. Sous l'angle de l'escroquerie, il ne lui est pas fait grief de détournement d'actif au profit d'un créancier, mais d'avoir astucieusement trompé la dupe dans un dessein d'enrichissement illégitime. Dans cette mesure, la captation s'oppose au détournement. Or, il est constant que les prestations de l'assurance-chômage ont bien été perçues et utilisées par l'auteur pour son entretien et celui des siens en plus du produit de ses activités lucratives. Le moyen de réforme déduit de la qualification des faits (soit de l'infraction) doit donc être rejeté. 8.a) Au surplus, et à titre subsidiaire, le recourant conteste la quotité de la peine. Invoquant une fausse application des art. 47 et 49 al. 2 CP, il soutient que la sanction qui lui a été infligée est arbitrairement sévère. Il considère que les premiers juges ont méconnu la valeur selon lui modique des prestations d'assurance indûment perçues, ce d’autant que l'autorité d'aide sociale, subrogée dans ses droits à hauteur de l'entier des prestations versées, les a entièrement perçues. b) La peine a été prononcée à titre complémentaire à celle infligée par le Tribunal de la Gruyère le 11 septembre 2001. Les faits ici incriminés remontent, comme déjà relevé, à la période comprise entre le 1er décembre 2000 et le 31 octobre 2001. Il s'agit donc d'une infraction continue qui a débuté avant la condamnation prononcée par le juge fribourgeois, même si elle s'est achevé après celle-ci. La peine n'est donc pas entièrement complémentaire à celle prononcée en 2001, mais il ne s'agit pas moins d'un cas d'application de l'art. 49 al. 2 CP. Dans cette mesure, il s'ensuit que la peine complémentaire doit être fixée dans une mesure telle que l’auteur ne soit pas puni plus sévèrement que si les</w:t>
      </w:r>
    </w:p>
    <w:p>
      <w:r>
        <w:t>- 20 - diverses infractions avaient fait l’objet d’un seul jugement. 9.a)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w:t>
      </w:r>
    </w:p>
    <w:p>
      <w:r>
        <w:t>- 21 - 2b; cf. aussi notamment TF 6B_207/2007 du 6 septembre 2007). 10. En l’espèce, pour apprécier la culpabilité du recourant, les premiers juges ont retenu à charge l'attitude de l'intéressé aux débats, la rouerie dont il avait fait preuve en perpétrant l'escroquerie réprimée et ses antécédents judiciaires, s'agissant notamment de la précédente condamnation pour une infraction de même nature que celle ici en cause. A ceci s'ajoute que, s'agissant de deux infractions similaires, le recourant est en état de récidive spéciale. A décharge, le tribunal correctionnel a retenu le temps écoulé depuis les actes incriminés, la socialisation de l'auteur et le fait que l'intéressé a actuellement un emploi qui lui permet d'assumer la charge d'adolescents ou de jeunes adultes encore étudiants. Ce faisant, le tribunal n’a pas tenu compte d’éléments étrangers à l’art. 47 CP. Ceux pris en compte sont complets et pertinents. Il en découle que l'auteur n'a manifesté aucune prise de conscience, continuant à s'abriter derrière un écran de mensonges même aux débats. A ceci s'ajoute, comme déjà relevé, que l'infraction ici réprimée constitue une récidive spéciale. Ces éléments justifient une peine complémentaire relativement sévère. De même, aucun élément déterminant au regard de l'art. 47 CP n'a été omis, respectivement ne s'est vu conférer une portée excessive ou insuffisante. En particulier, la subrogation de l'autorité d'assistance à hauteur des prestations d'assurances en espèces versées à l'assisté, dont tente d'exciper le recourant, est étrangère à l'évaluation de la culpabilité. Il ne s'agit en effet que d'une modalité destinée à éviter le cumul de prestations, soit le gain d'assurance, lorsqu'un ayant-droit aux prestations de l'assurance-chômage a perçu des prestations d'assistance pour une période donnée avant la reconnaissance de son droit aux prestations d'assurance pour la même période (principe dit de la congruence); en d'autres termes, il ne s'agit que de l'application du principe de la subsidiarité de l'assistance, notamment par rapport aux prestations d'assurance en espèces. Quant à la quotité de l'enrichissement issu de l'escroquerie il s'agit certes, comme le fait valoir le recourant, d'un élément à prendre en compte dans la mesure de la peine. Le montant qu'il avoue lui-même (environ 38'500 fr., comme déjà relevé) est toutefois loin</w:t>
      </w:r>
    </w:p>
    <w:p>
      <w:r>
        <w:t>- 22 - d'être modique pour une période de onze mois. Cet élément, certes omis par les premiers juges, ne permet donc pas de revoir le quantum de la peine. Il en découle que la peine privative de liberté prononcée ne saurait être considérée comme arbitrairement sévère. Il s'ensuit que le recours en réforme doit être rejeté à l'instar du recours en nullité. 11. En conclusion, le recours doit être rejeté en application de l'art. 431 al. 2 CPP et le jugement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