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399 vom 10. Juni 2010</w:t>
      </w:r>
    </w:p>
    <w:p>
      <w:r>
        <w:t>VD Tribunal cantonal, 2010-06-10, FR</w:t>
      </w:r>
    </w:p>
    <w:p>
      <w:r>
        <w:rPr>
          <w:b/>
        </w:rPr>
        <w:t xml:space="preserve">Quelle: </w:t>
      </w:r>
      <w:r>
        <w:t>https://mcp.opencaselaw.ch/entscheid/vd_gerichte_399</w:t>
      </w:r>
    </w:p>
    <w:p>
      <w:r>
        <w:t>FR: VD_GERICHTE 399 du 10 juin 2010</w:t>
      </w:r>
    </w:p>
    <w:p>
      <w:r>
        <w:t>IT: VD_GERICHTE 399 del 10 giugno 2010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le recours en nullité doit être admis et il doit être procédé dans le sens des considérants. Les frais de deuxième instance, y compris l'indemnité allouée au défenseur d'office du recourant, par 581 fr. 05, TVA comprise, doivent être laissés à la charge de l'Etat (art. 450 al. 2 CPP).</w:t>
      </w:r>
    </w:p>
    <w:p>
      <w:r>
        <w:t>- 12 -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