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388 vom 8. Juli 2010</w:t>
      </w:r>
    </w:p>
    <w:p>
      <w:r>
        <w:t>VD Tribunal cantonal, 2010-07-08, FR</w:t>
      </w:r>
    </w:p>
    <w:p>
      <w:r>
        <w:rPr>
          <w:b/>
        </w:rPr>
        <w:t xml:space="preserve">Quelle: </w:t>
      </w:r>
      <w:r>
        <w:t>https://mcp.opencaselaw.ch/entscheid/vd_gerichte_388</w:t>
      </w:r>
    </w:p>
    <w:p>
      <w:r>
        <w:t>FR: VD_GERICHTE 388 du 8 juillet 2010</w:t>
      </w:r>
    </w:p>
    <w:p>
      <w:r>
        <w:t>IT: VD_GERICHTE 388 del 8 luglio 2010</w:t>
      </w:r>
    </w:p>
    <w:p>
      <w:pPr>
        <w:pStyle w:val="Heading2"/>
      </w:pPr>
      <w:r>
        <w:t>Erwägungen</w:t>
      </w:r>
    </w:p>
    <w:p>
      <w:r>
        <w:rPr>
          <w:b/>
        </w:rPr>
        <w:t>E. 2</w:t>
      </w:r>
    </w:p>
    <w:p>
      <w:r>
        <w:t>La recourante considère que l'indemnité pour tort moral allouée par le tribunal, d'un montant de 12'000 fr., est arbitrairement basse et réclame 50'000 francs.</w:t>
      </w:r>
    </w:p>
    <w:p>
      <w:r>
        <w:rPr>
          <w:b/>
        </w:rPr>
        <w:t>E. 2.1</w:t>
      </w:r>
    </w:p>
    <w:p>
      <w:r>
        <w:t>En vertu de l'art. 47 CO (Code des obligations du 30 mars 1911, RS 220), le juge peut, en tenant compte de circonstances particulières, allouer à la victime de lésions corporelles une indemnité équitable à titre de réparation morale. Cette indemnité a pour but exclusif</w:t>
      </w:r>
    </w:p>
    <w:p>
      <w:r>
        <w:t>- 27 -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 2.2.2 ; ATF 123 III 306 c. 9b ; TF 4A_489/2007 du 22 février 2008 c. 8.2).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4A_373/2007 du 8 janvier 2008 c. 3.2, non publié in : ATF 134 III 97 ; TF 4A_481/2009 du 26 janvier 2010 c. 6.2 ; Keller, Haftpflicht im Privatrecht, vol. II, 2e éd., Berne 1998, p. 132 ; Guyaz, L'indemnisation du tort moral en cas d'accident, in : SJ 2003 II p. 1ss, spéc. p. 16).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w:t>
      </w:r>
    </w:p>
    <w:p>
      <w:r>
        <w:t>- 28 -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 TF 4C.263/2006 du 17 janvier 2007, c. 7.3).</w:t>
      </w:r>
    </w:p>
    <w:p>
      <w:r>
        <w:rPr>
          <w:b/>
        </w:rPr>
        <w:t>E. 2.2</w:t>
      </w:r>
    </w:p>
    <w:p>
      <w:r>
        <w:t>La Cour de céans a notamment alloué la somme de 15'000 fr. à une femme défigurée par trois plaies, dont la plus importante s’étendait sur 15 cm de longueur sur la joue droite, l’indemnité étant alors qualifiée d’élevée (CCASS, 19 mai 2003, n° 102). Il sied de constater que l'indemnité allouée repose sur des critères pertinents et qu'elle est conforme à l'équité au vu des circonstances concrètes du cas d'espèce. En effet, les séquelles physiques sont relativement peu importantes, à l'exception d'une cicatrice peu visible de loin, et la vie de la plaignante n'a pas été mise en danger. Il n'en demeure pas moins que M.________ a subi un préjudice psychique relativement important, qui n'est toutefois pas étayé et n'a pas nécessité de suivi particulier. En effet, le jugement querellé retient que la victime a été choquée mais ne semblait pas avoir été suivie médicalement à raison de cette agression (jgt., p. 29, par. 2). S'il n'est pas question de minimiser le choc subi et les conséquences pouvant résulter d'une telle agression, il apparaît que l'indemnité de 12'000 fr. allouée en l’occurrence par les premiers juges se situe dans le cadre défini par la jurisprudence et qu’elle ne procède pas d’un abus du pouvoir d’appréciation. Mal fondé, le moyen doit être rejeté. D. En définitive, les recours de D.________ et de M.________ doivent l'un et l'autre être rejetés et le jugement confirmé.</w:t>
      </w:r>
    </w:p>
    <w:p>
      <w:r>
        <w:t>- 29 - Partant, conformément à l’art. 450 al. 1 CPP, les frais de deuxième instance seront mis par moitié à la charge de D.________, plus l’indemnité allouée à son conseil d’office par 550 fr., et par moitié à la charge de M.________, plus l’indemnité due à son défenseur d’office par 1'080 fr., plus TVA à 7,6 %, soit au total 1'162 fr. 10. Le remboursement à l’Etat des indemnités précitées sera exigible pour autant que les situations économiques respectives des recourants se soient améliorées.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