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373 vom 29. Februar 2008</w:t>
      </w:r>
    </w:p>
    <w:p>
      <w:r>
        <w:t>VD Tribunal cantonal, 2008-02-29, FR</w:t>
      </w:r>
    </w:p>
    <w:p>
      <w:r>
        <w:rPr>
          <w:b/>
        </w:rPr>
        <w:t xml:space="preserve">Quelle: </w:t>
      </w:r>
      <w:r>
        <w:t>https://mcp.opencaselaw.ch/entscheid/vd_gerichte_373</w:t>
      </w:r>
    </w:p>
    <w:p>
      <w:r>
        <w:t>FR: VD_GERICHTE 373 du 29 février 2008</w:t>
      </w:r>
    </w:p>
    <w:p>
      <w:r>
        <w:t>IT: VD_GERICHTE 373 del 29 febbraio 2008</w:t>
      </w:r>
    </w:p>
    <w:p>
      <w:pPr>
        <w:pStyle w:val="Heading2"/>
      </w:pPr>
      <w:r>
        <w:t>Erwägungen</w:t>
      </w:r>
    </w:p>
    <w:p>
      <w:r>
        <w:rPr>
          <w:b/>
        </w:rPr>
        <w:t>E. 1</w:t>
      </w:r>
    </w:p>
    <w:p>
      <w:r>
        <w:t>Le bouclement individuel est dressé conformément aux principes régissant l’établissement régulier des comptes, de manière à donner un aperçu aussi sûr que possible du patrimoine, de la situation financière et des résultats de la banque.</w:t>
      </w:r>
    </w:p>
    <w:p>
      <w:r>
        <w:rPr>
          <w:b/>
        </w:rPr>
        <w:t>E. 2</w:t>
      </w:r>
    </w:p>
    <w:p>
      <w:r>
        <w:t>L’établissement des comptes est régi en particulier par les principes suivants : a. la saisie régulière des opérations; b. l’intégralité des comptes annuels; c. la clarté des informations; d. le caractère essentiel des informations; e. la prudence; f. la continuation de l’exploitation; g. la continuité dans la présentation et l’évaluation; h. la délimitation dans le temps; i. l’interdiction de la compensation entre actifs et passifs ainsi qu’entre charges et produits; k. l’aspect économique; i. l’interdiction de la compensation entre actifs et passifs ainsi qu’entre charges et produits; k. l’aspect économique.</w:t>
      </w:r>
    </w:p>
    <w:p>
      <w:r>
        <w:rPr>
          <w:b/>
        </w:rPr>
        <w:t>E. 3</w:t>
      </w:r>
    </w:p>
    <w:p>
      <w:r>
        <w:t>Sont considérés comme essentiels (al. 2, let. d) les éléments et montants dont l’incidence sur les comptes annuels est telle qu’elle pourrait influencer les destinataires des comptes annuels dans leur appréciation et leurs décisions à l’égard de la banque.</w:t>
      </w:r>
    </w:p>
    <w:p>
      <w:r>
        <w:rPr>
          <w:b/>
        </w:rPr>
        <w:t>E. 3.1</w:t>
      </w:r>
    </w:p>
    <w:p>
      <w:r>
        <w:t>M.________ M.________, en tant que collaborateur de U.________, a dirigé le mandat de révision bancaire et statutaire de la banque de 1995 jusqu'à la fin de l'exercice 2001. Il a notamment assuré, jusqu’à mi-juin 1999, les relations entre le Conseil d’administration de U.________ et ses collègues engagés sur le mandat BCV, d’une part, et la BCV, d’autre part. Il a eu connaissance des problèmes de provisionnement rencontrés par la banque peu après leur apparition et a été associé régulièrement au processus visant à les résoudre. Ainsi, M.________ a été informé personnellement par D.________, le 20 janvier 1997, de ce que le montant de provisions de 1'011'743'000 fr. annoncé par F.________ avait pour effet de faire passer le taux de couverture de 66 % à 50 %. Il a participé à la séance de bouclement du 21 janvier 1997, qui a porté sur le manque de provisions de 91'000'000 fr., les correctifs de valeurs et provisions et la diminution consécutive du taux de couverture technique. Il a participé à la séance d’information du 30 janvier 1997 au Comité de banque et donné son accord à ce que soient revus les taux de capitalisation de certains crédits immobiliers. Il a également assisté à la séance du 4 février 1997, portant sur la différence de 91'000'000 fr. entre le montant de provisions figurant dans la deuxième version de l'état des risques et celui arrêté lors du bouclement des comptes et, au terme de cette entrevue, a donné son accord à la révision de certains crédits immobiliers et à ce que leur soit appliqué un taux de capitalisation plus bas sur les revenus locatifs. Il a donné son aval à l'état des risques établi en application de la variante 4.2, qui a été adopté le 11 mars 1997 par la Direction générale.</w:t>
      </w:r>
    </w:p>
    <w:p>
      <w:r>
        <w:t>- 28 - Il a participé à la séance de la Direction générale du 25 février 1997 ainsi qu'à celle du Conseil d’administration du 20 mars 1997 au cours de laquelle les comptes ont été présentés et a déclaré qu’il n’avait aucun commentaire à faire sur les comptes ni sur les deux rapports de révision. La cour de céans rappelle que la révision interne a tiré la sonnette d’alarme en avril 1997 (jugement de première instance, pp. 39- 44) et que les réflexions se sont poursuivies parallèlement à la tenue de l'Assemblée générale en date du 14 mai 1997. A l'issue de la réunion du 15 mai 1997, l'intimé a été chargé d'établir une analyse détaillée de l'abattement linéaire de 216'000'000 fr. portant sur les crédits couverts par un gage immobilier et de vérifier les conclusions auxquelles étaient parvenus Z.________ et G.________, ce qu'il a fait. Parallèlement, il a établi et déposé, le 3 juin 1997, son rapport sur la révision des comptes annuels arrêtés au 31 décembre 1996, lequel relève s’agissant de l’appréciation des risques que les blancs techniques ont été déterminés par la banque de manière prudente et que les provisions constituées sur les positions à risques sont globalement suffisantes (jugement de première instance, pp. 46-47). Trois jours plus tard, M.________ a remis à H.________ une note dont ressortait un besoin de provisions complémentaires de l'ordre de 154'000'000 fr. par rapport au risque technique finalement retenu par la banque. Il a participé à la séance de coordination du 9 juin 1997, lors de laquelle l'opinion qu'il défendait a prévalu sur celle de Z.________ et G.________. Le 11 juin 1997, il a confirmé à D.________ que U.________ estimait à 154'000'000 fr. le besoin de provisions complémentaires au 31 décembre 1996, en indiquant que celui-ci était couvert, sur le plan matériel, par les provisions spécifiques de 1'018'000'000 fr. ainsi que par la provision pour autre risque bancaire de 325'000'000 fr. Il a déterminé un risque technique inférieur de 10 % à celui retenu par la banque. Par la</w:t>
      </w:r>
    </w:p>
    <w:p>
      <w:r>
        <w:t>- 29 - suite, l'intimé a participé à la séance organisée le 7 novembre 1997 à la CFB, puis à la séance de bouclement des comptes 1997 du 21 janvier 1998. Il a établi le rapport du 30 janvier 1998 sur la révision des prêts à la clientèle au 30 juin 1997, au terme duquel était arrêté le montant de 1'908'600'000 fr. du risque technique, ainsi que le rapport "long form" sur les comptes annuels au 31 décembre 1997, qui reprenait notamment le taux de couverture des risques spécifiques de 50 %, couplé à la réserve de 250'000'000 fr. pour couverture des risques potentiels futurs. Il a donné son aval à la projection de bouclement qui a abouti à l'acceptation d'une augmentation du capital. Il a encore établi le rapport "long form" sur les comptes annuels au 31 décembre 1998.</w:t>
      </w:r>
    </w:p>
    <w:p>
      <w:r>
        <w:rPr>
          <w:b/>
        </w:rPr>
        <w:t>E. 3.1.1</w:t>
      </w:r>
    </w:p>
    <w:p>
      <w:r>
        <w:t>Il résulte de ce qui précède que M.________ était au courant de la situation et savait qu'il y avait un problème de manque de provisions. Or, non seulement, il n’a formulé aucune réserve lors de la séance du Conseil d’administration du 20 mars 1997, mais il a fallu attendre le mois de juin 1997, soit postérieurement à l’Assemblée générale et le rapport de révision, pour que U.________, sur la base des derniers travaux, admette un besoin de provisions complémentaires. S’agissant des comptes 1997, M.________, qui avait participé à tous les travaux d’élaboration d’un nouveau système de provisionnement, à l'exception de la séance de la Direction générale du 3 février 1998, n’a pas jugé utile d’aviser l’Assemblée générale du fait que le changement de système n’était pas mentionné dans les comptes. En gardant le silence alors qu'il était au courant des modalités de fixation des provisions, il a contribué à l'information tronquée donnée aux autres organes et aux actionnaires.</w:t>
      </w:r>
    </w:p>
    <w:p>
      <w:r>
        <w:rPr>
          <w:b/>
        </w:rPr>
        <w:t>E. 3.2</w:t>
      </w:r>
    </w:p>
    <w:p>
      <w:r>
        <w:t>H.________ De 1995 à 2001, la société U.________ a été l'organe de révision externe de la BCV, dont elle examinait les crédits et risques</w:t>
      </w:r>
    </w:p>
    <w:p>
      <w:r>
        <w:t>- 30 - depuis 1993. H.________ a assumé le mandat de révision bancaire et statutaire de la BCV. Durant les derniers mois de l'année 1996, les problèmes de provisionnement qui étaient apparus ont fait l'objet de nombreuses discussions au sein des organes dirigeants de la BCV. Le 20 janvier 1997, M.________ a été contacté personnellement par D.________ à ce sujet et, depuis lors, il a été régulièrement associé au processus visant à résoudre les problèmes de provisionnement (cf. ci-dessus). Il est difficilement concevable que, durant toute cette période, H.________ n'ait jamais été informé par M.________ des problèmes de provisionnement rencontrés par la banque, du contenu des discussions auxquelles ce dernier a participé et, partant, qu'il n'ait rien su de la situation. Dans tous les cas, H.________ a assisté, avec M.________, à la séance du 20 mars 1997, lors de laquelle le Conseil d'administration de la banque a examiné les comptes de l'exercice 1996 et pris connaissance du rapport de la Division commerciale dans lequel figurait l'état des risques adopté le 11 mars 1997. Or, à cette occasion, les réviseurs ont déclaré n’avoir aucun commentaire à faire sur les comptes et sur les deux rapports de révision. Cela suppose évidemment qu’ils en connaissaient les tenants et les aboutissants. Le 16 mai 1997, il s'est vu confier le mandat de procéder à une analyse détaillée visant à vérifier la réalité des hypothèses avancées par Z.________ et G.________, qui, au terme de leurs recherches, avaient estimé qu'il manquait environ 780'000'000 fr. de provisions au 31 décembre 1996. En particulier, il avait mandat d'étudier la question de l'abattement linéaire de 216'000'000 fr. portant sur les crédits couverts par un gage immobilier. Le 6 juin 1997, M.________ lui a soumis la note interne qu'il avait rédigée avec [...], dont ressortait un besoin de provisions complémentaires de l'ordre de 154'000'000 fr. par rapport au risque technique finalement retenu par la banque. L'intimé a ensuite participé à</w:t>
      </w:r>
    </w:p>
    <w:p>
      <w:r>
        <w:t>- 31 - la séance de coordination du 9 juin 1997, à l'issue de laquelle l'opinion défendue par les représentants de U.________ a prévalu sur les travaux de Z.________ et G.________ et il n'a manifestement pas ignoré le contenu du courrier du 11 juin 1997 adressé à D.________. Il a également participé à maintes autres séances depuis lors, notamment à la rencontre du 7 novembre 1997 avec la CFB, à la séance du 21 janvier 1998 lors de laquelle la Direction générale de la BCV a procédé au bouclement des comptes de l'exercice 1997 ainsi qu'à la séance qui s'est tenue le 12 mai 1998 en vue de poser les principes quant au traitement du risque technique et d'en voir l'incidence sur les bouclements futurs.</w:t>
      </w:r>
    </w:p>
    <w:p>
      <w:r>
        <w:rPr>
          <w:b/>
        </w:rPr>
        <w:t>E. 3.2.1</w:t>
      </w:r>
    </w:p>
    <w:p>
      <w:r>
        <w:t>A partir du moment où Z.________ s'est rendu compte des graves dysfonctionnements du début de l'année 1997 et dès l'étude confiée à celui-ci et G.________ et du mandat donné à U.________ de se pencher sur la problématique des provisions, H.________ a été tenu au courant de tout ce qui s'est passé et a participé à différentes séances. Il était donc conscient de l'existence d'un problème de provisions mais a néanmoins encouragé l'adoption de la nouvelle méthode de provisionnement ainsi que le fait de retenir le montant du risque technique d'U.________, de 10 % inférieur à celui usuellement retenu par la banque. En gardant le silence alors qu'il était au courant des modalités de fixation des provisions, il a contribué à l'information tronquée donnée aux autres organes et aux actionnaires.</w:t>
      </w:r>
    </w:p>
    <w:p>
      <w:r>
        <w:rPr>
          <w:b/>
        </w:rPr>
        <w:t>E. 3.3</w:t>
      </w:r>
    </w:p>
    <w:p>
      <w:r>
        <w:t>M.________ et H.________ ont notamment été libérés des chefs d'accusation de gestion déloyale et de faux dans les titres. L'arrêt attaqué, tel qu'il est motivé sur ces points, ne laisse nullement entendre le contraire et la présomption d'innocence des intimés n'a pas été violée.</w:t>
      </w:r>
    </w:p>
    <w:p>
      <w:r>
        <w:rPr>
          <w:b/>
        </w:rPr>
        <w:t>E. 3.3.1</w:t>
      </w:r>
    </w:p>
    <w:p>
      <w:r>
        <w:t>Dans le cas particulier, il doit être reproché à M.________ et H.________ d'avoir engagé leur responsabilité civile de réviseurs, au sens de l’art. 755 CO, en participant effectivement - ce qui est en soi discutable pour un réviseur externe au regard de l’art. 727c aCO régissant l'indépendance des réviseurs - aux séances au cours desquelles a été mis sur pied, puis avalisé, le système inadmissible consistant à fixer le</w:t>
      </w:r>
    </w:p>
    <w:p>
      <w:r>
        <w:t>- 32 - montant des provisions à l’aveugle puis à chercher dans un deuxième temps seulement une solution permettant d’adapter le montant des risques au montant ainsi retenu. En particulier, il a été retenu que la décision de la Direction générale, intervenue le 21 janvier 1997 lors de la séance de bouclement des comptes de l'exercice 1996, à laquelle a assisté M.________, fixant le montant des correctifs de valeurs et provisions pour risques de défaillance à 1'018'743'000 fr. était critiquable dans la mesure où elle ne prenait nullement en considération l'état des risques, établi le jour même par C.________, qui faisait état d'un besoin de provisions de 1'109'899'000 francs. Une telle manière de procéder impliquait nécessairement la recherche a posteriori d'une solution permettant un abattement de l’état des risques correspondant au montant précité. Or, il n'était pas admissible qu’un gestionnaire avisé prenne une décision définitive, comme le bouclement des comptes, sans en avoir les moyens. En effet, c’était prendre un risque inconsidéré que de fixer un montant définitif de provisions sans être capable de le justifier. Il ne s'agissait pas seulement d'une décision commerciale inappropriée mais d'une véritable violation du devoir de diligence, et ce, même en l'appréciant ex ante, soit au moment où elle a été prise (arrêt, pp. 62-63). Le principe de la provision comptable consiste à estimer la quotité d’un risque. Selon le Manuel suisse de révision comptable, édition 1987 (partie 4.1, p. 46), l’une des tâches des réviseurs est de procéder à une analyse critique des provisions comptabilisées. Or, l'exécution de cette tâche est vaine si le montant des provisions comptabilisées a été fixé avant même qu’il ne soit procédé à l’analyse des risques. En d'autres termes, les réviseurs externes se sont d’emblée placés, au mépris de leur devoir d'indépendance, dans une situation dans laquelle ils ne pouvaient que savoir qu’ils seraient incapables d’effectuer leur mission. On peut encore critiquer les intimés d’avoir, à plusieurs reprises, donné un avis sur des problèmes de gestion en cours d’exercice et s’étonner de leur présence à des séances de la Direction générale comme le bouclement des comptes alors que la vocation du réviseur est de contrôler les comptes et non pas de collaborer, même indirectement, à leur établissement. M.________ a en effet participé aux séances des 21 janvier, 3 février et 25</w:t>
      </w:r>
    </w:p>
    <w:p>
      <w:r>
        <w:t>- 33 - février 1997. Il a également assisté, en compagnie de H.________, à la présentation des comptes au Conseil d’administration le 20 mars 1997. Force est ainsi de constater que par leurs agissements, M.________ et H.________ se sont placés dans une situation dans laquelle ils étaient finalement appelés à contrôler leur propre travail et ne présentaient pas, en conséquence, l'indépendance requise au sens de l'art. 727c aCO.</w:t>
      </w:r>
    </w:p>
    <w:p>
      <w:r>
        <w:rPr>
          <w:b/>
        </w:rPr>
        <w:t>E. 3.3.2</w:t>
      </w:r>
    </w:p>
    <w:p>
      <w:r>
        <w:t>M.________ et H.________ ont encore engagé leur responsabilité, au sens de l'art. 755 CO, en ne veillant pas à ce que le Conseil d’administration et l’Assemblée générale sachent qu’il manquait 154'000'000 fr. dans les comptes de la BCV à une époque déterminée et que la banque avait, à tout le moins, subi un dommage temporaire découlant du manque de provision spécifique aux risques sur débiteurs douteux pendant toute l’année 1997. Le fait d’affecter une partie de la provision de 325'000'000 fr. constituée pour les autres risques de banque ou de considérer qu’elle suffisait pour couvrir ces risques, n’enlevait rien en effet au fait qu’il manquait 154'000'000 fr. dans les comptes de la BCV et que tant l’Assemblée générale que le Conseil d’administration n’en ont jamais été informés. Peu importe à cet égard que les réviseurs n’aient eu aucun devoir de gestion, leur responsabilité n’est pas engagée parce qu’ils n’ont pas opéré de vérification mais parce que, ayant su que des informations essentielles n’étaient pas communiquées, ils n’ont rien dit alors que leur devoir était de rendre attentif les organes compétents sur l’existence de violations des art. 24 al. 2 let. d et 24 al. 3 OB. L'insuffisance de provision de 154'000'000 fr., qui n’a fait l’objet d’aucune correction, ni dans la comptabilité ni au bilan 1997, doit être considéré comme un élément essentiel dont l’incidence sur les comptes annuels est telle qu’elle pourrait influencer les destinataires des comptes annuels dans leur appréciation et leurs décisions à l’égard de la banque au sens de l'art. 24 al. 3 OB. Force est dès lors de constater que le rapport de révision 1997, signé par M.________ et H.________ attestait de la régularité des comptes, alors que ceux-ci étaient établis en violation des règles</w:t>
      </w:r>
    </w:p>
    <w:p>
      <w:r>
        <w:t>- 34 - comptables édictées par le CO, la LB et l'OB. A tout le moins de manière transitoire, les comptes de la banque n’ont pas été corrigés suite au constat de U.________ au mois de juin 1997 et celle-ci aurait dû le constater dans son rapport de révision. Le but d’un tel rapport est de fournir l’opinion de l’organe de révision externe, en foi de quoi le Conseil d’administration peut prendre en connaissance de cause les décisions subséquentes, comme l’approbation des comptes, du rapport annuel et le versement des dividendes notamment. En agissant de la sorte, M.________ et H.________ ont violé leurs obligations de réviseurs au sens des art. 728 à 729b aCO.</w:t>
      </w:r>
    </w:p>
    <w:p>
      <w:r>
        <w:rPr>
          <w:b/>
        </w:rPr>
        <w:t>E. 3.3.3</w:t>
      </w:r>
    </w:p>
    <w:p>
      <w:r>
        <w:t>Enfin, M.________ et H.________ ont occulté, pour les comptes de l'année 1997, le fait qu’une nouvelle méthode de provisionnement avait été adoptée. La situation est différente de celle concernant les comptes de l'année 1996 où seul un paramètre de provisionnement avait été changé, modification qui n’avait pas à faire l’objet d’une réserve de la part des réviseurs. Pour 1997, la banque a établi, avec la participation active de M.________ et H.________ (tant lors des séances du Comité du banque que des séances du Conseil d’administration et de la séance avec la CFB), de nouveaux principes de provisionnement (jugement de première instance, pp. 54-57). Or, les chiffres fournis au Conseil d'administration et à l'Assemblée générale étaient trompeurs et ne pouvaient être comparés sans autres commentaires ou information donnés à leur sujet. Ils présentaient la situation de la banque comme un peu plus favorable en 1997 qu’en 1996, puisque les provisions pour débiteurs douteux ne variaient que très peu, passant de 1'343'743'000 fr. à 1'360'000'000 fr., alors qu’en réalité, et en l’absence de toute explication sur les modifications des principes d’évaluation, la situation s’était péjorée dans la mesure où le taux de couverture avait baissé. En outre, les comptes de 1996 sous-évaluaient les provisions nécessaires au regard du risque technique tel que calculé pour cette année-là par les services de la</w:t>
      </w:r>
    </w:p>
    <w:p>
      <w:r>
        <w:t>- 35 - banque, toujours selon les normes en vigueur en 1994, après adoption du nouveau taux de capitalisation. Les comptes ne correspondaient ainsi pas à l’évolution des risques techniques calculés par les services internes de la banque, conformément aux directives de 1994, qui étaient de 1'960'243'000 fr. en 1996 (jugement de première instance, p. 26) pour 2'038'447'700 fr. en 1997 (jugement de première instance, p. 58; dernière colonne : si 90 % = 1'834'603'000 fr., 100% = 2'038'447'777), de telle sorte que les corrections de valeurs et provisions pour risques de défaillances pour l'année 1997, soit 965'000'000 fr., n’auraient pas dû, sans autres explications, être légèrement inférieures à celles de 1996, soit 1'018'743'000 fr., mais supérieures. Peu importe que les provisions aient ou non été suffisantes, M.________ et H.________ ont, par leur silence, contribué fautivement à cacher que la situation de la banque se péjorait. Au final, si le Conseil d’administration a été renseigné sur les nouveaux paramètres de provisionnement (jugement de première instance, p.55-56) et la situation a été présentée à l'Assemblée générale (jugement de première instance, p. 60), il n'en demeure pas moins que ni M.________, ni H.________ n'ont pris la parole à ces occasions afin de mentionner que les comptes de l'année 1996 et ceux de l'année 1997 n'étaient pas comparables, sans explication complémentaire. Un tel comportement constitue notamment une violation de leur devoir d’aviser l’Assemblée générale d’une violation de la loi ou des statuts (art. 662a al. 2 ch. 5 CO, 729b al. 1 aCO). Les réviseurs n’ont de surcroît rien dit au sujet du respect des principes de continuité, de clarté et d’intégralité dans la comptabilité par la banque. Au demeurant, le simple fait qu’ils aient attesté que les comptes avaient été établis conformément à la loi supposait qu’en tant qu’experts comptables diplômés et réviseurs, ils aient vérifié que les principes de clarté et de continuité dans les évaluations avaient été respectés. S'ils ne l’étaient pas, il leur incombait de le dire dans leurs rapports, à tout le moins dans celui destiné au Conseil d’administration, le</w:t>
      </w:r>
    </w:p>
    <w:p>
      <w:r>
        <w:t>- 36 - rapport de révision destiné à l’Assemblée générale ayant un contenu plus limité puisque selon l’art 729 aCO, il porte sur le résultat de sa vérification. Rien n’est encore indiqué dans le rapport de révision quant à l'abattement de 10 % et ses justifications. Comparé à celui indiqué pour 1996, le blanc technique pour 1997, calculé selon la méthode 1994 retenue pour l’année 1996, aurait dû être de 10 % supérieur. Inversement, si les réviseurs avaient mentionné l’abattement de 10 % dans leur rapport, il aurait fallu y procéder aussi pour 1996, pour que les chiffres soient comparables. Le rapport de révision attestait donc une situation qui était certes celle retenue par les comptes 1997, mais faisait une comparaison doublement mensongère. D’une part, les blancs techniques 1996 et 1997 n’étaient pas comparables comme implicitement prétendu et, d’autre part, les taux de couverture comparés et calculés sur ces bases étaient faux. En omettant d’indiquer l’abattement de 10 %, U.________ couvrait donc le fait que la comparaison des taux de couverture des risques donnait une indication fausse, trop favorable par comparaison pour les comptes 1997. La présentation du rapport de révision donnait une vision fausse de l’évolution de la banque en la présentant comme favorable, alors qu’au regard des chiffres retenus elle n’aurait pas dû l’être. Si l'on sait que le rapport de révision détaillé a été présenté au Conseil d’administration alors que celui-ci avait été renseigné par la Direction générale lors d’une séance du 12 décembre 1997 sur la situation des risques, on ignore en revanche jusqu’où allaient ces explications. Il n’est en tout cas pas fait allusion dans le procès-verbal de la séance du Conseil d’administration à la solution adoptée pour l’évaluation des risques, mais seulement à la création du poste de 250'000'000 fr. affectés aux créances douteuses. Quoi qu’il en ait été, le rapport de révision était muet sur l’abattement de 10 % et partant sur le détail de l’évaluation des risques par rapport aux méthodes retenues antérieurement.</w:t>
      </w:r>
    </w:p>
    <w:p>
      <w:r>
        <w:t>- 37 - Force est de constater que le rapport de révision 1997, signé par M.________ et H.________ attestait de la régularité des comptes, alors que ceux-ci étaient établis en violation des règles comptables édictées par le CO, la LB et l'OB, notamment le principe de continuité dans la présentation et l’évaluation au sens de l'art. 662a al. 2 ch. 5 CO. En agissant de la sorte, M.________ et H.________ ont violé leurs obligations de réviseurs au sens des art. 728 à 729b aCO. On peut encore compléter l'état de fait du jugement entrepris sur la base de la pièce 753/23 (cité en page 55 du jugement de première instance) par application analogique de l’art. 433a CPP, ainsi que la Cour de cassation est habilitée à le faire dans le cadre d'un recours en réforme, lorsqu'il s'agit de tenir compte d'éléments qui ne figurent pas dans le jugement et sur lesquels les premiers juges ne se sont pas prononcés, mais qui résultent clairement du dossier (Bovay et alii, n. 6 ad art 433a CPP et n. 3.1 ad art. 447 CPP). "En 1997, suite au départ de M. [...], la banque a procédé à une nouvelle analyse destinée à déterminer l'ampleur maximale des risques encourus. Selon vos indications, à fin 1997, le niveau du "blanc technique" devrait atteindre Fr. 1,890 mia contre Fr. 1'494 mia à fin 1996. Les provisions requises pour la couverture de ces risques évalués sur une base individualisée s'élèveront à environ Fr. 960 mios à fin 1997 (50 %) contre Fr. 1,018 mia à fin 1996 (68 %). ’augmentation du "blanc technique" résulte d’une volonté délibérée de la banque de fixer l’ampleur maximale des risques crédits à un niveau extrême étant entendu que, compte tenu de l’évaluation individualisée des risques de pertes, une augmentation des correctifs de valeurs n’est pas requise selon la banque et le réviseur. Cette confirmation est du reste également étayée de manière rétrospective par les provisions constituées à ce jour (les provisions existantes étant en général suffisantes par rapport aux pertes subies en cas de réalisation). L’expérience démontre en effet que, compte tenu des récupérations sur les créances amorties, le compte de pertes et profits n’est pas pénalisé par les pertes subies.</w:t>
      </w:r>
    </w:p>
    <w:p>
      <w:r>
        <w:t>- 38 - La banque se propose dès lors de modifier ses principes d’évaluation et de présentation des comptes afin de faire apparaître, dans ses comptes 1997, la rubrique 2.9 "Correctifs de valeurs et provisions" de manière encore plus transparente. En l’absence d’un "modèle sophistiqué de couverture préventive des risques", susceptible d’autoriser la présentation d’une "Réserve pour fluctuation de risques sur débiteurs" au bilan, la banque se propose de scinder les réserves latentes figurant déjà aujourd’hui sous la rubrique 2.9 "Correctifs de valeurs et provisions" comme suit : - Autres provisions - Réserve pour risques potentiels futurs sur débiteurs Fr. 250 mios. - Réserve pour risques bancaires généraux Fr. 145 mios. Dans la mesure où la banque présente de manière transparente cette modification du principe comptable en indiquant par exemple que la "Réserve pour risques potentiels futurs sur débiteurs" figurant sous la rubrique 2.9 "Correctifs de valeurs et provisions" représente désormais 1 % de la somme des avances à la clientèle et que les fluctuations futures de cette position seront enregistrées par le compte de résultat (constitution des réserves latentes par "Charges ordinaires ou extraordinaires" et dissolution par "Produits extraordinaires"), nous vous confirmons que nous n’avons pas d’objection à formuler à une telle présentation.". (Pièce 753/23, pp. 1-2). Au vu de ce qui précède, il sied de souligner que l’absence de toute explication est ainsi contraire à l’accord donné par la CFB à la scission des provisions pour débiteurs douteux en deux postes dont un considéré comme fonds propres à raison de 250 millions. Celle-ci exigeait en effet de la transparence et des explications dans la présentation du nouveau système de provision adopté, ce qui n'a pas été le cas.</w:t>
      </w:r>
    </w:p>
    <w:p>
      <w:r>
        <w:rPr>
          <w:b/>
        </w:rPr>
        <w:t>E. 3.4</w:t>
      </w:r>
    </w:p>
    <w:p>
      <w:r>
        <w:t>Au vu des éléments susmentionnés, il est suffisamment établi que M.________ et H.________ ont adopté un comportement civilement répréhensible dès lors qu'ils ont violé plusieurs normes de comportement écrite résultant de l'ordre juridique suisse pris dans son ensemble, à</w:t>
      </w:r>
    </w:p>
    <w:p>
      <w:r>
        <w:t>- 39 - savoir, notamment les règles régissant l'indépendance des réviseurs (art. 727c aCO) ainsi que leurs tâches et leur devoir d'information (728, 729a, 729b aCO). Ils n'ont, en définitive, pas assumé l'intégralité de leurs obligations de réviseurs d'une société anonyme et n'ont pas observé les règles et usages de leur profession. 4. Il convient encore de déterminer s'il existe un lien de causalité entre les comportements répréhensibles reprochés aux intimés et les frais mis à leur charge. Le jugement du tribunal correctionnel procède à un historique détaillé de la dégradation de la situation de la BCV dès 1998 et jusqu'en 2006 (jugement de première instance, pp. 61-78). Il mentionne également de manière circonstanciée l'ouverture de la procédure pénale ainsi que les rapports d'expertise privée (jugement de première instance, pp. 88-93). Il en ressort une détérioration certes lente mais constante, dans le cadre de laquelle les décisions critiquables prises à propos des comptes 1996 et 1997 ont à l’évidence joué un rôle. A cet égard, il est établi qu'au printemps 1998, les réviseurs externes M.________ et H.________ participaient à la poursuite des réflexions relatives à l’évaluation des risques et leur couverture (cf. jgt., pp. 61 ss). En effet, la modification des paramètres de provisionnement lors de l’exercice 1997 n’a pas mis un terme aux réflexions relatives à l’évaluation des risques et à leur couverture. Durant les exercices comptables 1999 et 2000, les organes de la banque ont maintenu la politique mise en place précédemment, sans changement notable, mais tout en poursuivant leurs réflexions et vérifications constantes en matière de gestion des risques et des provisions. Le 1er juin 2001, lors d’une séance interne apparemment consacrée à la discussion d’un exposé passant en revue un certain</w:t>
      </w:r>
    </w:p>
    <w:p>
      <w:r>
        <w:t>- 40 - nombre d’instituts bancaires susceptibles de présenter des problèmes, la CFB a relevé qu'elle s’inquiétait de l’évaluation des crédits par la BCV, ne voulait pas se contenter de l’appréciation de l’organe de révision et souhaitait qu’une révision extraordinaire limitée à la question de l’évaluation des crédits soit mise en œuvre. En séance du 11 septembre 2001, la Direction générale a décidé que le "second opinion audit" serait confié à [...]. Le mandat d’analyse confié à la société précitée a consisté à s’assurer, au travers de l’appréciation des procédures de gestion des risques de crédit, de l’adéquation du niveau de provisions de la banque en vue du bouclement des comptes consolidés de celle-ci pour 2001. Fondée sur ces travaux, [...] a estimé que le niveau existant des provisions ne correspondait pas aux risques encourus. Ces constatations ont été présentées au président du Conseil d’administration le 2 novembre 2001, puis au Secrétariat de la CFB le 12 novembre 2001. Au vu de ce qui précède, les organes de la banque ont défini une nouvelle approche permettant de déterminer le besoin de provisionnement nécessaire dans le cadre du bouclement au 31 décembre 2001, en accord avec U.________; cette nouvelle approche a été validée par [...] le 15 novembre 2001. Elle consistait notamment en l’abandon de la notion de risque technique au profit de la notion d’"Exposition Risque Crédits", en l'estimation d'un certain nombre de garanties sujettes à caution à leur valeur de liquidation ainsi qu'en l'abandon du taux unique de couverture du risque de 50 %. Dans son rapport du 11 janvier 2002, [...], sur la base de ses travaux, a conclu que la nouvelle approche définie en vue du bouclement au 31 décembre 2001 avait bien été appliquée et que le besoin de provisions de 1'700'000'000 fr. au 31 décembre 2001 était adéquat par rapport aux risques de crédit enregistrés par la banque. Dans la foulée, la banque, sous l’impulsion du Conseil d’Etat, a chargé [...] d’examiner, entre autres points, quelle était l’origine des pertes qu’elle avait subies et de celles provisionnées selon la première étude. [...] a déposé un rapport complémentaire le 12 avril 2002, à teneur</w:t>
      </w:r>
    </w:p>
    <w:p>
      <w:r>
        <w:t>- 41 - duquel 81 % des crédits générateurs de pertes avaient été octroyés avant la fusion des établissements bancaires vaudois, fin 1993, et que 95 % de ces crédits avaient été octroyés avant 1997. En définitive, le "second opinion audit" confié à [...] a fait ressortir un grave manque de provisions, concernant à raison de 95% des crédits antérieurs à 1997, qui a conduit à la crise financière et à la recapitalisation, d’une part, à l’ouverture de l’enquête pénale à fin 2002, d’autre part. Or, la grave crise financière et l’ouverture de l’enquête pénale sont une conséquence des déficiences des années 1997 et 1998, notamment au niveau des carences de l'information. Par conséquent, force est de constater que notamment M.________ et H.________ ont adopté un comportement civilement répréhensible, de nature à provoquer l'ouverture d'une procédure pénale et la poursuite de celle-ci jusqu'à son terme, justifiant ainsi la mise à leur charge d'une partie des frais de justice. Les conditions auxquelles un prévenu acquitté peut être condamné aux frais sont donc réalisées.</w:t>
      </w:r>
    </w:p>
    <w:p>
      <w:r>
        <w:rPr>
          <w:b/>
        </w:rPr>
        <w:t>E. 4</w:t>
      </w:r>
    </w:p>
    <w:p>
      <w:r>
        <w:t>La constitution de réserves latentes est autorisée dans les limites de l’art. 25a, al. 3. Lorsque le résultat publié est présenté de façon sensiblement plus favorable que le résultat effectivement réalisé, en raison d’une dissolution de réserves latentes, la dissolution doit être indiquée.</w:t>
      </w:r>
    </w:p>
    <w:p>
      <w:r>
        <w:rPr>
          <w:b/>
        </w:rPr>
        <w:t>E. 5</w:t>
      </w:r>
    </w:p>
    <w:p>
      <w:r>
        <w:t>Il ressort de l'arrêt de la Cour de cassation pénale du 29 avril 2009 que les frais de première instance atteignent au total 207'980 fr. 95. En mettant à la charge de M.________ et H.________ un montant de 4'000 fr. chacun (arrêt CCASS du 29 avril 2009) en raison du comportement civilement répréhensible que ces derniers ont adopté et qui était en lien avec l'ouverture de l'action pénale, la participation de ceux-ci aux frais n'est pas supérieure à un 2/100ème des frais totaux. Cette appréciation, qui n'est ni choquante ni inéquitable, consacre pleinement l'acquittement des intéressés et doit être confirmée. Mal fondé, le moyen doit être rejeté.</w:t>
      </w:r>
    </w:p>
    <w:p>
      <w:r>
        <w:t>- 42 -</w:t>
      </w:r>
    </w:p>
    <w:p>
      <w:r>
        <w:rPr>
          <w:b/>
        </w:rPr>
        <w:t>E. 6</w:t>
      </w:r>
    </w:p>
    <w:p>
      <w:r>
        <w:t>En définitive, le recours du Ministère public doit être partiellement admis en tant qu'il concerne H.________ et M.________ et le jugement réformé dans le sens des considérants.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