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26 vom 19. Juni 2025</w:t>
      </w:r>
    </w:p>
    <w:p>
      <w:r>
        <w:t>VD Tribunal cantonal, 2025-06-19, FR</w:t>
      </w:r>
    </w:p>
    <w:p>
      <w:r>
        <w:rPr>
          <w:b/>
        </w:rPr>
        <w:t xml:space="preserve">Quelle: </w:t>
      </w:r>
      <w:r>
        <w:t>https://mcp.opencaselaw.ch/entscheid/vd_gerichte_26</w:t>
      </w:r>
    </w:p>
    <w:p>
      <w:r>
        <w:t>FR: VD_GERICHTE 26 du 19 juin 2025</w:t>
      </w:r>
    </w:p>
    <w:p>
      <w:r>
        <w:t>IT: VD_GERICHTE 26 del 19 giugno 2025</w:t>
      </w:r>
    </w:p>
    <w:p>
      <w:pPr>
        <w:pStyle w:val="Heading2"/>
      </w:pPr>
      <w:r>
        <w:t>Erwägungen</w:t>
      </w:r>
    </w:p>
    <w:p>
      <w:r>
        <w:rPr>
          <w:b/>
        </w:rPr>
        <w:t>E. 47</w:t>
      </w:r>
    </w:p>
    <w:p>
      <w:r>
        <w:t>al. 1 let. a à e CPC –, s'il est « de toute autre manière », c'est-à-dire indépendamment des cas énumérés aux autres lettres, suspect de partialité (TF 5A_108/2022 du 7 juin 2022 consid. 3 et les réf. citées ; TF 4A_576/2020 du 10 juin 2021 consid. 3.1.2), notamment en raison d’un rapport d’amitié ou d’inimitié avec une partie ou son représentant, que selon la jurisprudence, cette dernière disposition doit être appliquée dans le respect des principes de la garantie d'un tribunal indépendant et impartial instituée par les art. 6 par. 1 CEDH (Convention de sauvegarde des droits de l’homme et des libertés fondamentales du 4 novembre 1950 ; RS 0.101) et 30 al. 1 Cst., qui ont, de ce point de vue, la même portée (ATF 140 III 221 consid. 4.2 ; ATF 139 III 433 consid. 2.2 in fine), qu’elle vise à éviter que des circonstances extérieures à la cause ne puissent influencer le jugement en faveur ou au détriment d'une partie, qu’elle n'impose pas la récusation uniquement lorsqu’une prévention effective est établie, car une disposition interne de la part du juge ne peut être prouvée, qu’il suffit que les circonstances donnent l’apparence de la prévention et fassent redouter une activité partiale du magistrat, étant précisé toutefois que seules les circonstances constatées objectivement doivent être prises en considération, les impressions purement individuelles d’une des parties au procès n’étant pas décisives (ATF 144 I</w:t>
      </w:r>
    </w:p>
    <w:p>
      <w:r>
        <w:t>- 5 - 159 consid. 4.3 ; ATF 143 IV 69 consid. 3.2 ; TF 4A_572/2023 du 11 juin 2024 consid. 7.1.1 ; TF 5A_804/2022 consid. 5.1), que des décisions ou des actes de procédure viciés, voire arbitraires, ne fondent pas en soi une apparence objective de prévention, que, dans le cadre de son activité, le juge est contraint de se prononcer sur des questions contestées et délicates, que même si elles se révèlent ensuite erronées, des mesures inhérentes à l’exercice normal de sa charge ne permettent pas encore de le suspecter de parti pris, que des erreurs de procédure ou d’appréciation commises par un juge ne suffisent pas à fonder objectivement la suspicion de partialité, même lorsque ces erreurs sont établies, seules des fautes particulièrement lourdes ou répétées, qui doivent être considérées comme des violations graves des devoirs du magistrat, pouvant avoir cette conséquence, pour autant que les circonstances dénotent que le juge est prévenu ou justifient à tout le moins objectivement l’apparence de prévention (ATF 143 IV 69 consid. 3.2 ; TF 5A_225/2023 du 3 mai 2024 consid. 3 ; TF 5A_108/2022 du 7 juin 2022 consid. 3 et les réf. citées), que c’est aux juridictions de recours ordinaires qu’il appartient de constater et de redresser les erreurs éventuellement commises, que la procédure de récusation n’a pas pour objet de permettre aux parties de contester la manière dont est menée l’instruction et de remettre en cause les différentes décisions incidentes prises à ce titre (ATF 143 IV 69 consid. 3.2), qu’il n’appartient pas au juge de la récusation d’examiner la conduite du procès à la façon d’une instance d’appel ou d'un organe de surveillance (ATF 116 Ia 135 consid. 3a ; TF 5A_804/2022 consid. 5.1 et les réf. citées),</w:t>
      </w:r>
    </w:p>
    <w:p>
      <w:r>
        <w:t>- 6 - que la récusation d’un juge ou d’un tribunal ne doit pas être autorisée à la légère, mais uniquement pour des motifs sérieux, sous peine de compromettre le fonctionnement normal des tribunaux (ATF 144 I 159 consid. 4.4 ; TF 5A_804/2022 consid. 5.1), la récusation devant demeurer l’exception (ATF 122 II 471 consid. 3b ; TF 2C_472/2021 du 1er mars 2022 consid. 7.2) ; attendu qu’aux termes de l'art. 49 al. 1, 1ère phrase, CPC, la partie qui entend obtenir la récusation d'un magistrat ou d'un fonctionnaire judiciaire la demande au tribunal aussitôt qu'elle a eu connaissance du motif de récusation, qu’à défaut, elle est déchue du droit de s'en prévaloir ultérieurement (ATF 141 III 210 consid. 5.2 ; ATF 139 III 120 consid. 3.2.1 ; ATF 136 I 207 consid. 3.4 ; TF 5A_843/2019 consid. 4.2.2 ; TF 4A_172/2019 du 4 juin 2019 consid. 4.1.3), que, de manière générale, la partie doit agir dans les jours qui suivent la découverte du motif de récusation et non dans les deux ou trois semaines ou davantage (CREC 3 septembre 2020/204), qu’ont ainsi été jugées tardives des requêtes présentées 18 jours (CREC 3 septembre 2020/204) ou 24 jours après la connaissance du motif, quand bien même des pourparlers transactionnels se tenaient entretemps (TF 4A_56/2019 du 27 mai 2019 consid. 4), respectivement 40 jours ou 50 jours (TF 4A_104/2015 du 20 mai 2015 consid. 6 ; TF 4A_600/2015 du 1er avril 2016 consid. 6.3) ou encore deux mois après la connaissance du motif de récusation invoqué (TF 4D_42/2012 du 2 octobre 2012 consid. 5.2.2), que la prévention ou l'apparence de prévention résulte parfois d'une accumulation progressive d'attitudes ou de propos en eux-mêmes anodins, mais qui, cumulés, peuvent finir par donner une impression de partialité,</w:t>
      </w:r>
    </w:p>
    <w:p>
      <w:r>
        <w:t>- 7 - que dans ce cas, la règle exigeant que la demande de récusation soit présentée aussitôt ne saurait être appliquée à chacun de ces faits, mais il faut admettre comme légitime de les invoquer tous comme indices de la prévention alléguée, dans une demande consécutive au plus récent d'entre eux (TF 5A_749/2015 du 27 novembre 2015 consid. 5.1, RSPC 2016 p. 95 ; TF 4A_486/2009 du 3 février 2010 consid. 5.2.2, RSPC 2010 p. 231), qu’il n’est ainsi pas exclu de revenir sur un événement, dont l’invocation serait tardive, à l’occasion de circonstances nouvellement survenues, dans la mesure où le nouveau motif, qui ne serait pas sérieusement propre à fonder une récusation, n’est pas invoqué abusivement (TF 5A_85/2021 du 26 mars 2021 consid. 3.2), que ne peut se prévaloir de cette jurisprudence la partie qui estime que les propos tenus par un juge à une audience justifient une récusation et qui attend de recevoir l'ordonnance d'instruction rendue ensuite de cette audience pour se plaindre de son comportement, alors même qu'il allègue que plusieurs autres éléments qui, pris dans leur ensemble, remettaient en cause son impartialité, existaient déjà précédemment (TF 5A_998/2018 du 25 février 2019 consid. 6.4), que la partie qui requiert la récusation d'un magistrat ou fonctionnaire judiciaire n'est pas tenue d'apporter la preuve stricte des faits qu'elle allègue, mais doit seulement rendre ces faits vraisemblables (art. 49 al. 1, 2e phr., CPC), de sorte que sur ce point, la procédure de la récusation est similaire à celle des mesures provisionnelles selon l'art. 261 al. 1 CPC (TF 4A_475/2018 du 12 septembre 2019 consid. 3.3 ; TF 5A_843/2019 du 8 avril 2020 consid. 4.2.3), que le fardeau de la preuve qui lui incombe vaut tant pour le(s) motif(s) de récusation invoqué(s) que pour les autres conditions légales de la récusation, dont fait partie le respect du délai prévu à l'art.</w:t>
      </w:r>
    </w:p>
    <w:p>
      <w:r>
        <w:rPr>
          <w:b/>
        </w:rPr>
        <w:t>E. 49</w:t>
      </w:r>
    </w:p>
    <w:p>
      <w:r>
        <w:t>al. 1, 1ère phrase, CPC (TF 4A_272/2021 du 26 août 2021 consid. 3.1.4),</w:t>
      </w:r>
    </w:p>
    <w:p>
      <w:r>
        <w:t>- 8 - qu’en l’espèce, les premiers juges ont tout d’abord considéré que la requête de récusation avait été déposée de manière tardive, soit le 17 février 2025 alors que les motifs invoqués étaient connus des recourants le 24 janvier 2025 déjà, qu’à cet égard, les recourants exposent que leur recours fait suite à toute une série d’éléments, dont l’attitude du juge lors des audiences, mais en dernier lieu à sa lettre du 27 janvier 2025, ordonnant la production dans un délai au 17 février 2025 de divers documents relatifs aux travaux effectués dans le logement en cause, que les recourants ne démontrent ainsi aucunement avoir agi dans un délai acceptable, dès lors que, de toute vraisemblance, plus de 20 jours se sont écoulés entre la réception du courrier du lundi 27 janvier 2025 et le dépôt de la requête de récusation du lundi 17 février 2025, qu’un tel délai doit être considéré comme excessif, au regard de la jurisprudence précitée, que la requête de récusation étant intervenue hors délai, les premiers juges ont à juste titre considéré qu’elle avait été déposée tardivement, que ce constat suffit à sceller le sort du recours sans qu’il ait lieu d’examiner les autres griefs soulevés par les recourants, qu’ainsi, le recours doit être rejeté sans échange d’écritures (art. 322 al.1 CPC), pour autant que recevable, et la décision entreprise confirmée ; attendu que les frais judiciaires de deuxième instance, arrêtés à 400 fr. (art. 72 al. 1 TFJC [tarif des frais judiciaires en matière civile du 28 septembre 2010 ; BLV 270.11.5]), sont mis à la charge des recourants, qui succombent (art. 106 al. 1 CPC), solidairement entre eux.</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