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252 vom 3. Oktober 2012</w:t>
      </w:r>
    </w:p>
    <w:p>
      <w:r>
        <w:t>VD Tribunal cantonal, 2012-10-03, FR</w:t>
      </w:r>
    </w:p>
    <w:p>
      <w:r>
        <w:rPr>
          <w:b/>
        </w:rPr>
        <w:t xml:space="preserve">Quelle: </w:t>
      </w:r>
      <w:r>
        <w:t>https://mcp.opencaselaw.ch/entscheid/vd_gerichte_252</w:t>
      </w:r>
    </w:p>
    <w:p>
      <w:r>
        <w:t>FR: VD_GERICHTE 252 du 3 octobre 2012</w:t>
      </w:r>
    </w:p>
    <w:p>
      <w:r>
        <w:t>IT: VD_GERICHTE 252 del 3 ottobre 2012</w:t>
      </w:r>
    </w:p>
    <w:p>
      <w:pPr>
        <w:pStyle w:val="Heading2"/>
      </w:pPr>
      <w:r>
        <w:t>Erwägungen</w:t>
      </w:r>
    </w:p>
    <w:p>
      <w:r>
        <w:rPr>
          <w:b/>
        </w:rPr>
        <w:t>E. 1</w:t>
      </w:r>
    </w:p>
    <w:p>
      <w:r>
        <w:t>Le recours est dirigé contre la décision de la justice de paix instituant une tutelle provisoire à forme de l'art. 386 al. 2 CC en faveur d'X.________. a/aa) L'autorité tutélaire peut priver provisoirement de l'exercice des droits civils la personne à interdire et lui désigner un représentant (art. 386 al. 2 CC). La procédure d'interdiction provisoire est régie par les art. 380a et 380b CPC-VD (Code de procédure civile vaudois du 14 décembre 1966, RSV 270.11), qui restent applicables (art. 174 CDPJ [Code de droit privé judiciaire vaudois du 12 janvier 2010, RSV 211.02]) et qui consacrent pour l'essentiel les principes dégagés par la jurisprudence. La décision d'interdiction provisoire est susceptible du recours prévu à l'art. 380b CPC-VD, adressé à l'autorité de surveillance dans un délai de dix jours dès sa communication (JT 2005 III 51 ; JT 1979 III 127 ; Breitschmid, Basler Kommentar, 4e éd., 2010, n. 26 ad art. 386 CC, p. 1912 ; Schnyder/Murer, Berner Kommentar, 1984, n. 152 ad art. 386 CC, pp. 811 et 812). Ce recours, ouvert au dénoncé ainsi qu'à tout intéressé, s'instruit selon les formes du recours non contentieux prévues aux art. 489 ss CPC-VD (art. 380b al. 1 CPC-VD). La Chambre des tutelles, compétente en vertu de l'art. 76 LOJV (loi d'organisation judiciaire du 12 décembre 1979, RSV 173.01), peut réformer la décision attaquée ou en prononcer la nullité (art. 498 al. 1 CPC-VD). Le recours étant pleinement</w:t>
      </w:r>
    </w:p>
    <w:p>
      <w:r>
        <w:t>- 6 - dévolutif, elle revoit librement la cause en fait et en droit (JT 2005 III 51 ; JT 2003 III 35). bb) Interjeté en temps utile par la personne concernée par la mesure, le présent recours est recevable à la forme. Les pièces produites en deuxième instance sont également recevables (art. 496 al. 2 CPC-VD ; Poudret/Haldy/Tappy, Procédure civile vaudoise, 3e éd., Lausanne 2002, n.</w:t>
      </w:r>
    </w:p>
    <w:p>
      <w:r>
        <w:rPr>
          <w:b/>
        </w:rPr>
        <w:t>E. 2</w:t>
      </w:r>
    </w:p>
    <w:p>
      <w:r>
        <w:t>a/aa) La privation provisoire de l'exercice des droits civils suppose l'existence, à première vue, d'un motif d'interdiction et non seulement la vraisemblance de l'existence d'un tel motif (ATF 86 II 139, JT 1961 I 34 ; ATF 57 II 3 précité ; Schnyder/Murer, op. cit., nn. 51 et 79 ss ad art. 386 CC, pp. 782 et 791 ss ; Egger, op. cit., nn. 14 et 30 ad art. 386 CC, pp. 254 et 259). Par motif d'interdiction, on entend la présence conjointe d'une cause et d'une condition d'interdiction : la situation personnelle de l'intéressé doit permettre d'envisager un cas d'interdiction et il doit exister un besoin spécial de protection (Deschenaux/Steinauer, Personnes physiques et tutelle, 4e éd., Berne 2001, nn. 118 et 119, pp. 36-37). Il s'agit également de protéger la famille de l'interdit, ses relations pécuniaires et les intérêts des tiers. Il faut enfin qu'il y ait péril en la demeure (Schnyder/Murer, op. cit., n. 54 et 82 ad art. 386 CC, pp. 784 et 793 ; Stettler, Droit civil I, Représentation et protection de l'adulte, 4e éd., 1997, p. 183) et que la tutelle apparaisse comme le seul moyen pour écarter ce danger (Schnyder/Murer, op. cit., n. 83 ad art. 386 CC, p. 793 ; Riemer, Grundriss des Vormundschaftsrechts, Berne 1981, p. 81 ; ATF 113 II 386 c. 3b, JT 1989 I 623 et réf. citées). Cette règle découle du principe de la proportionnalité des mesures tutélaires (Schnyder/Murer, op. cit., nn. 12 et 65, 70 à 73 ad art. 386 CC, pp. 773, 786, 788 et 789). D’une manière générale, l’instauration d’une tutelle doit en effet être conforme aux principes de proportionnalité et de subsidiarité. Les mesures tutélaires constituant une intervention dans la sphère de liberté de l’individu, le choix de la mesure la plus adéquate est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(Deschenaux/Steinauer, op. cit., nn. 860 ss, pp. 339 ss ; TF 5A_55/2010 du 9 mars 2010, in SJ 2011 I 130 ; TF 5C.74/2003 du 3 juillet 2003, in La pratique du droit de la famille [FamPra.ch] 2003, p. 975). Par exemple, il a été considéré qu’une mesure de curatelle, dont la mission peut englober également l’assistance personnelle (art. 392 ch. 1 CC), était une protection suffisante s’agissant de fournir une assistance générale,</w:t>
      </w:r>
    </w:p>
    <w:p>
      <w:r>
        <w:t>- 9 - destinée à proposer des mesures de protection en fonction des débordements comportementaux constatés (TF 5A_568/2007 du 4 février 2008, in Revue du droit de tutelle [RDT] 2008, p. 213). La collaboration du pupille avec le curateur est indispensable au succès d’une telle mesure (TF 5A_55/2010 précité). bb) L'art. 369 CC prévoit que tout majeur qui, pour cause de maladie mentale ou de faiblesse d'esprit, est incapable de gérer ses affaires, ne peut se passer de soins et secours permanents ou menace la sécurité d'autrui, sera pourvu d'un tuteur. Selon la jurisprudence du Tribunal fédéral (ATF 85 II 457, JT 1960 I 226 ;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op. cit., n. 122a, p. 38 et l'arrêt cité). Selon l'art. 370 CC, sera pourvu d'un tuteur tout majeur qui, par ses prodigalités, son ivrognerie, son inconduite ou sa mauvaise gestion, s'expose, lui ou sa famille, à tomber dans le besoin, ne peut se passer de soins et secours permanents ou menace la sécurité d'autrui. b) En l’espèce, il résulte du signalement du 28 mars 2012, des rapports établis les 12 juin et 19 juillet 2012 respectivement par le CMS de Vevey-Ouest et le Service de liaison du BRIO, ainsi que des déclarations du Dr B.________ et de W.________ à l’audience du 23 juillet 2012, que la recourante est sans logement depuis le mois d’août 2011. Elle connaît d’importants problèmes de santé et a fait échouer, par son manque de collaboration, plusieurs propositions d’hébergement à des fins de réhabilitation. En l’absence de tout projet concret de logement à sa sortie d’hôpital, elle s’expose à une mise en danger et à une précarisation</w:t>
      </w:r>
    </w:p>
    <w:p>
      <w:r>
        <w:t>- 10 - sociale. Elle se révèle inapte à être autonome dans sa vie quotidienne, sociale et juridique. Le témoignage concordant de tous les professionnels qui ont tenté d’aider l’intéressée doit être à cet égard préféré à celui, isolé et non étayé, de l’amie de la recourante, D.________. Tant la cause que la condition d’une mesure tutélaire paraissent ainsi prima facie réalisées. Sous l’angle de la proportionnalité, une mesure plus légère qu’une tutelle provisoire est inenvisageable, au vu du défaut de collaboration de la recourante. Il y a enfin urgence, dès lors qu’il importe que l’aide nécessaire soit apportée sans délai à la recourante. La recourante fait certes valoir qu’elle aurait trouvé, dès le 1er août 2012, un logement en colocation à La Tour-de-Peilz, avec un dénommé [...]. Elle ne produit cependant qu’une photocopie d’une attestation signée « [...] », dont la date est tronquée et ne comprend pas l’année. On ne peut accorder de valeur probante à cette pièce et il n’est ainsi pas établi que la situation de logement de la recourante serait assurée à long terme. De plus, si celle-ci prétend que toutes ses poursuites ont été réglées, le document produit – qui est une proposition de règlement d’actes de défaut de biens dont on ignore la suite qui y a éventuellement été donnée – ne le démontre pas. C’est enfin en vain que la recourante soutient qu’une mesure tutélaire ne pourrait, le cas échéant, être prononcée qu’après l’expertise actuellement en cours. En effet, l’art. 386 al. 2 CC permet justement, en cas d’urgence, d’ordonner à titre provisoire les mesures nécessaires à la sauvegarde des intérêts du pupille. Le recours s’avère ainsi mal fondé.</w:t>
      </w:r>
    </w:p>
    <w:p>
      <w:r>
        <w:rPr>
          <w:b/>
        </w:rPr>
        <w:t>E. 3</w:t>
      </w:r>
    </w:p>
    <w:p>
      <w:r>
        <w:t>En conclusion, le recours doit être rejeté et la décision entreprise confirmée. Le présent arrêt peut être rendu sans frais, conformément à l'art. 236 al. 2 aTFJC (tarif du 4 décembre 1984 des frais judiciaires en</w:t>
      </w:r>
    </w:p>
    <w:p>
      <w:r>
        <w:t>- 11 - matière civile) qui continue à s'appliquer pour toutes les procédures visées à l'art. 174 CDPJ (art. 100 TFJC [tarif du 28 septembre 2010 des frais judiciaires civils, RSV 270.11.5]). Par ces motifs, la Chambre des tutelles du Tribunal cantonal, statuant à huis clos, prononce : I. Le recours est rejeté. II. La décision est confirmée. III. L'arrêt est rendu sans frais. IV. L'arrêt motivé est exécutoire. Le président : La greffière : Du 3 octobre 2012 Le dispositif de l'arrêt qui précède est communiqué par écrit aux intéressés. La greffière :</w:t>
      </w:r>
    </w:p>
    <w:p>
      <w:r>
        <w:t>- 12 - Du L'arrêt qui précède, dont la rédaction a été approuvée à huis clos, est notifié à : - Mme X.________, et communiqué à : - Justice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