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247 vom 15. Dezember 2011</w:t>
      </w:r>
    </w:p>
    <w:p>
      <w:r>
        <w:t>VD Tribunal cantonal, 2011-12-15, FR</w:t>
      </w:r>
    </w:p>
    <w:p>
      <w:r>
        <w:rPr>
          <w:b/>
        </w:rPr>
        <w:t xml:space="preserve">Quelle: </w:t>
      </w:r>
      <w:r>
        <w:t>https://mcp.opencaselaw.ch/entscheid/vd_gerichte_247</w:t>
      </w:r>
    </w:p>
    <w:p>
      <w:r>
        <w:t>FR: VD_GERICHTE 247 du 15 décembre 2011</w:t>
      </w:r>
    </w:p>
    <w:p>
      <w:r>
        <w:t>IT: VD_GERICHTE 247 del 15 dicembre 2011</w:t>
      </w:r>
    </w:p>
    <w:p>
      <w:pPr>
        <w:pStyle w:val="Heading2"/>
      </w:pPr>
      <w:r>
        <w:t>Erwägungen</w:t>
      </w:r>
    </w:p>
    <w:p>
      <w:r>
        <w:rPr>
          <w:b/>
        </w:rPr>
        <w:t>E. 1</w:t>
      </w:r>
    </w:p>
    <w:p>
      <w:r>
        <w:t>- 6 - L'appel de P.________ est dirigé contre une décision de l'autorité tutélaire instituant une mesure de tutelle à forme de l'art. 369 CC (Code civil suisse du 10 décembre 1907, RS 210).</w:t>
      </w:r>
    </w:p>
    <w:p>
      <w:r>
        <w:rPr>
          <w:b/>
        </w:rPr>
        <w:t>E. 1.1</w:t>
      </w:r>
    </w:p>
    <w:p>
      <w:r>
        <w:t>Conformément à l'art. 393 CPC-VD (Code de procédure civile du 14 décembre 1966, RSV 270.11), qui reste applicable aux décisions rendues après le 1er janvier 2011 (art. 174 CDPJ, Code de droit privé judiciaire vaudois du 12 janvier 2010, RSV 211.01),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CTUT 15 novembre 2011/218 et réf citées; CTUT 23 juin 2005/94).</w:t>
      </w:r>
    </w:p>
    <w:p>
      <w:r>
        <w:rPr>
          <w:b/>
        </w:rPr>
        <w:t>E. 1.2</w:t>
      </w:r>
    </w:p>
    <w:p>
      <w:r>
        <w:t>Interjeté en temps utile par la personne interdite, le présent appel est recevable à la forme.</w:t>
      </w:r>
    </w:p>
    <w:p>
      <w:r>
        <w:rPr>
          <w:b/>
        </w:rPr>
        <w:t>E. 2.1</w:t>
      </w:r>
    </w:p>
    <w:p>
      <w:r>
        <w:t>En matière non contentieuse, la Chambre des tutelles peut examiner d'office si les règles essentielles de la procédure d'interdiction, dont la violation pourrait entraîner l'annulation du jugement attaqué, ont été respectées (Poudret/ Haldy/Tappy, Procédure civile vaudoise, 3e éd., Lausanne 2002, n. 3 ad art. 492 CPC-VD, p. 763, par analogie). Dans le canton de Vaud, la procédure en matière d'interdiction est régie par les art. 379 ss CPC-VD, sous réserve des règles de procédure fédérales définies aux art. 373 à 375 CC.</w:t>
      </w:r>
    </w:p>
    <w:p>
      <w:r>
        <w:t>- 7 -</w:t>
      </w:r>
    </w:p>
    <w:p>
      <w:r>
        <w:rPr>
          <w:b/>
        </w:rPr>
        <w:t>E. 2.2</w:t>
      </w:r>
    </w:p>
    <w:p>
      <w:r>
        <w:t>Selon l'art. 379 al. 1 CPC-VD,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une fois l'enquête terminée, le juge de paix la soumet à la justice de paix qui peut ordonner un complément d'enquête (al. 1). La justice de paix entend le dénoncé, l'art. 380 al. 5 CPC- VD étant réservé (al. 2). Si la justice de paix estime la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w:t>
      </w:r>
    </w:p>
    <w:p>
      <w:r>
        <w:rPr>
          <w:b/>
        </w:rPr>
        <w:t>E. 2.3</w:t>
      </w:r>
    </w:p>
    <w:p>
      <w:r>
        <w:t>En l'espèce, P.________ étant domicilié à Renens, la Juge de paix du district de l'Ouest lausannois était compétente pour ouvrir une enquête en interdiction civile. Cette magistrate a procédé à une enquête et ordonné une expertise médicale. Elle a soumis le rapport d'expertise, établi le 27 avril 2011 par les Dr J.________ et K.________ du Département</w:t>
      </w:r>
    </w:p>
    <w:p>
      <w:r>
        <w:t>- 8 - S.________, au Conseil de santé, qui, par l'intermédiaire du Médecin cantonal agissant par délégation, a déclaré, le 20 juillet 2011, ne pas avoir d'observation à formuler. Le 13 janvier 2011, la Municipalité [...] a pour sa part préavisé en faveur d'une mesure tutélaire. Au terme de l'enquête, la Juge de paix a déféré la cause à la Justice de paix, qui a entendu le pupille lors de sa séance du 14 septembre 2011, avant de rendre la décision querellée. Rendue conformément aux règles de procédure requises, la décision de la Justice de paix peut par conséquent être examinée quant au fond.</w:t>
      </w:r>
    </w:p>
    <w:p>
      <w:r>
        <w:rPr>
          <w:b/>
        </w:rPr>
        <w:t>E. 3</w:t>
      </w:r>
    </w:p>
    <w:p>
      <w:r>
        <w:t>juillet 2003, in FamPra.ch 2003, p. 975; TF 5A_568/2007 du 4 février 2008).</w:t>
      </w:r>
    </w:p>
    <w:p>
      <w:r>
        <w:rPr>
          <w:b/>
        </w:rPr>
        <w:t>E. 3.1</w:t>
      </w:r>
    </w:p>
    <w:p>
      <w:r>
        <w:t>Selon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4e éd., Berne 2001, n. 122a, p. 38 et l'arrêt cité).</w:t>
      </w:r>
    </w:p>
    <w:p>
      <w:r>
        <w:t>- 9 -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nos 116 ss, pp. 36 ss). Les conditions du besoin spécial de protection susmentionnées sont alternatives (TF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nos 860 ss, pp. 334 ss; TF 5C.74/2003 du</w:t>
      </w:r>
    </w:p>
    <w:p>
      <w:r>
        <w:rPr>
          <w:b/>
        </w:rPr>
        <w:t>E. 3.2</w:t>
      </w:r>
    </w:p>
    <w:p>
      <w:r>
        <w:t>Il ressort de l’expertise du 27 avril 2011 des Dr J.________ et K.________ du Département S.________ que P.________ présente un syndrome de dépendance aux opiacés – mais qu'il était alors abstinent grâce à un traitement de substitution –, une probable dépendance à l’alcool et, principalement, un trouble de la personnalité caractérisé, au premier plan, par des traits paranoïaques. Selon les experts, lorsque</w:t>
      </w:r>
    </w:p>
    <w:p>
      <w:r>
        <w:t>- 10 - l’intéressé est dans une phase de décompensation, il n’est plus à même d'opérer le moindre acte de gestion et doit être hospitalisé. En dehors de ces phases, le trouble de la personnalité dont souffre P.________ le conduit à adopter des comportements inadéquats qui sont nuisibles à long terme et qui aboutissent à une dégradation psychosociale importante. P.________ ne parvient plus à assumer ses responsabilités, notamment sur le plan administratif. Les experts relèvent aussi que des mesures de protection ont été requises par H.________ et D.________, respectivement chef de clinique et assistant social au Département S.________, alors que P.________ était hospitalisé pour la 5ème fois à l’Hôpital [...] en raison d’une décompensation psychotique dans le cadre d’une rupture de traitement médicamenteux et de méthadone. Ils notent que les intervenants du [...] ont exprimé leurs inquiétudes quant à la précarité sociale et financière de l'intéressé, ayant souligné qu'au bénéfice d’une rente AI et de prestations complémentaires, il accumulait les arriérés et ne traitait pas son courrier, au point qu'il avait été notamment expulsé de son logement. Au vu de ces éléments, il apparaît que tant les motifs que la condition de l’interdiction sont réalisés. Pour le reste, l’appelant persiste à nier l’importance de ses difficultés dont il attribue systématiquement la cause à des éléments extérieurs. P.________ a mis en échec les différentes tentatives de mise en place d’un soutien médico-social, ayant notamment refusé toute assistance du CMS [...]. Compte tenu de ce contexte de déni de la maladie et des troubles paranoïaques dont il souffre, seule une mesure de tutelle paraît à même de lui assurer l'assistance personnelle dont il a besoin ainsi qu'une gestion raisonnable de ses revenus. Au regard de l'art. 369 CC, l'interdiction civile de P.________ apparaît par conséquent justifiée; elle est en outre conforme aux principes de subsidiarité et de proportionnalité.</w:t>
      </w:r>
    </w:p>
    <w:p>
      <w:r>
        <w:t>- 11 -</w:t>
      </w:r>
    </w:p>
    <w:p>
      <w:r>
        <w:rPr>
          <w:b/>
        </w:rPr>
        <w:t>E. 4</w:t>
      </w:r>
    </w:p>
    <w:p>
      <w:r>
        <w:t>En définitive, l’appel interjeté par P.________ doit être rejeté et la décision entreprise confirmée. Le présent arrêt peut être rendu sans frais conformément à l'art. 236 al. 2 aTFJC (tarif du 4 décembre 1984 des frais judiciaires en matière civile), qui continue à s'appliquer pour toutes les procédures visées à l'art. 174 CDPJ (cf. art. 100 TFJC [tarif du 28 septembre 2010 des frais judiciaires civils, RSV 270.11.5]), et à l'art. 396 al. 2 CPC-VD. Par ces motifs, la Chambre des tutelles du Tribunal cantonal, statuant à huis clos, prononce : I. Le recours est rejeté. II. La décision est confirmée. III. L'arrêt est rendu sans frais. Le président : La greffière : Du 15 décembre 2011 Le dispositif de l'arrêt qui précède est communiqué par écrit aux intéressés. La greffière :</w:t>
      </w:r>
    </w:p>
    <w:p>
      <w:r>
        <w:t>- 12 - Du L'arrêt qui précède, dont la rédaction a été approuvée à huis clos, est notifié à : - M. P.________, - Office du Tuteur général,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