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244 vom 1. Oktober 2012</w:t>
      </w:r>
    </w:p>
    <w:p>
      <w:r>
        <w:t>VD Tribunal cantonal, 2012-10-01, FR</w:t>
      </w:r>
    </w:p>
    <w:p>
      <w:r>
        <w:rPr>
          <w:b/>
        </w:rPr>
        <w:t xml:space="preserve">Quelle: </w:t>
      </w:r>
      <w:r>
        <w:t>https://mcp.opencaselaw.ch/entscheid/vd_gerichte_244</w:t>
      </w:r>
    </w:p>
    <w:p>
      <w:r>
        <w:t>FR: VD_GERICHTE 244 du 1 octobre 2012</w:t>
      </w:r>
    </w:p>
    <w:p>
      <w:r>
        <w:t>IT: VD_GERICHTE 244 del 1 ottobre 2012</w:t>
      </w:r>
    </w:p>
    <w:p>
      <w:pPr>
        <w:pStyle w:val="Heading2"/>
      </w:pPr>
      <w:r>
        <w:t>Erwägungen</w:t>
      </w:r>
    </w:p>
    <w:p>
      <w:r>
        <w:rPr>
          <w:b/>
        </w:rPr>
        <w:t>E. 1</w:t>
      </w:r>
    </w:p>
    <w:p>
      <w:r>
        <w:t>L'appel est dirigé contre la décision de la Justice de paix prononçant l'interdiction volontaire de S.________ à forme de l'art. 372 CC.</w:t>
      </w:r>
    </w:p>
    <w:p>
      <w:r>
        <w:t>- 6 - a) Conformément à l'art. 393 CPC-VD (Code de procédure civile vaudoise du 14 décembre 1966, RSV 270.11), qui reste applicable aux décisions rendues après le 1er janvier 2011 (art.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3e éd., Lausanne 2002, note ad art. 393 CPC-VD, p. 599). b) En l'espèce, la décision attaquée a été notifiée le 17 août 2012 au dénoncé. Interjeté le 24 août 2012, l'appel a donc été déposé en temps utile, par la personne interdite; il est recevable à la forme.</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par les art. 379 ss CPC-VD, sous réserve des règles de procédure fédérale définies aux art. 373 à 375 CC.</w:t>
      </w:r>
    </w:p>
    <w:p>
      <w:r>
        <w:t>- 7 - 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l'enquête terminée, le juge de paix la soumet à la justice de paix qui peut ordonner un complément d'enquête (al. 1). La justice de paix entend le dénoncé, l'art. 380 al. 5 CPC-VD étant réservé (al. 2). Si la justice de paix estime cette mesure justifiée, elle rend un prononcé d'interdiction et nomme le tuteur en conformité à l'art. 385 al. 1 CC (al. 3). Si le dénoncé consent à la mesure, il en fait mention au procès-verbal (al. 4). La décision de la justice de paix est motivée (al. 5). c) En l'espèce, S.________ était domicilié à Saint-Légier-Chiésaz au moment de l'ouverture de la procédure d'enquête tutélaire. Selon les considérants de la décision entreprise, il a accepté d'être mis sous tutelle. La Justice de paix du district de La Riviera – Pays-d'Enhaut était donc compétente ratione materiae (art. 3 al. 2 ch. 3 LVCC) et ratione loci (art. 91 LVCC) pour décider de l'institution éventuelle de l'interdiction civile du</w:t>
      </w:r>
    </w:p>
    <w:p>
      <w:r>
        <w:t>- 8 - dénoncé. L'autorité tutélaire a en outre suivi les différentes étapes de l'enquête prescrites par l'art. 380 CPC-VD, notamment a procédé à l'audition du pupille, le 21 juin 2012, en présence d'une interprète, et a donc respecté le droit d'être entendu de celui-ci. Rendue conformément aux règles de procédure applicables, la décision entreprise est par conséquent régulière et peut être examinée quant au fond.</w:t>
      </w:r>
    </w:p>
    <w:p>
      <w:r>
        <w:rPr>
          <w:b/>
        </w:rPr>
        <w:t>E. 3</w:t>
      </w:r>
    </w:p>
    <w:p>
      <w:r>
        <w:t>L'interdiction de S.________ a été prononcée en application de l'art. 372 CC. a) A teneur de cette disposition, tout majeur peut demander sa mise sous tutelle, s’il établit qu'il est empêché de gérer convenablement ses affaires par suite de faiblesse sénile, de quelque infirmité ou de son inexpérience. A l'instar de l'interdiction imposée, elle suppose la réalisation d'une cause (faiblesse sénile, infirmité ou inexpérience) et d'une condition d'interdiction. L'intéressé doit ainsi rendre vraisemblable que son incapacité de gérer ses affaires, personnelles ou économiques, procède de l'une des causes énumérées à l'art. 372 CC (Deschenaux/Steinauer, Personnes physiques et tutelle, 4e éd., Berne 2001, n. 145, p. 46). Selon la doctrine et la jurisprudence, la notion d'infirmité doit être interprétée de manière extensive : elle comprend les déficiences physiques, psychiques et caractérielles, telles que la déchéance physique et sociale, la fainéantise ou le mode de vie désordonné ou dissolu ; ces troubles psychiques et caractériels peuvent cependant être moins graves que ceux retenus aux art. 369 et 370 CC concernant l'interdiction imposée (ATF 99 II 15, résumé in JT 1974 I 58; Schnyder/Murer, Berner Kommentar, 1984, nn. 63-64 ad art. 372 CC, pp. 448 ss). L'état déficient de la personne ne peut aboutir à une interdiction que s'il a pour conséquence d'empêcher cette personne de gérer convenablement ses affaires personnelles ou économiques (Schnyder/Murer, op. cit., n. 77 ad art. 372 CC, p. 453). Cette</w:t>
      </w:r>
    </w:p>
    <w:p>
      <w:r>
        <w:t>- 9 - condition sera appréciée avec moins de rigueur qu'en matière d'interdiction imposée (Deschenaux/Steinauer, op. cit., n. 145, pp. 45-46). Selon la doctrine et la jurisprudence, la notion d’inexpérience doit quant à elle être interprétée de façon restrictive. Il doit s’agir d’une inexpérience caractérisée, de l’ignorance totale de la gestion des affaires en relation avec le caractère (Deschenaux/Steinauer, op. cit., n. 144, p. 45). Il y a demande de tutelle volontaire à la fois lorsque l'initiative de la procédure d'interdiction est le fait du pupille, qui présente une requête de mise sous tutelle, mais aussi lorsque l'autorité intervient d'office et que le dénoncé ne fait que consentir à la mesure (ch. 2 de la circulaire C 314 du 13 septembre 1994 du Tribunal cantonal sur la notion d'interdiction volontaire et levée de la tutelle prononcée en application de l'article 372 CC). La demande peut prendre la forme d'un consentement à une proposition faite selon les art. 369 à 371 CC. Le consentement peut intervenir au cours de la procédure d'interdiction forcée, mais il doit surtout exister au moment de la décision (Deschenaux/Steinauer, op. cit., nn. 146-147, p. 46 ; Schnyder/Murer, op. cit., nn. 16, 24 et 57 ad art. 372 CC, pp. 435, 437 et 447 ; ATF 106 II 298, JT 1981 I 293). Selon l'art. 382 al. 4 CPC-VD, si le dénoncé consent à la mesure, il en est fait mention au procès-verbal, de sorte que le consentement peut résulter d'une simple mention à ce document. Toutefois, vu l'importance d'un tel consentement et les conséquences qu'il comporte, encore faut-il qu'il soit clair et indiscutable (CTUT 11 septembre 2006/242). Lorsqu'il est douteux que l'accord donné corresponde à la volonté effective de l'intéressé et qu'il ait bien saisi la portée de son consentement, il s'impose à la justice de paix de lui laisser un délai de réflexion avant qu'il ne prenne une décision (Schnyder/Murer, op. cit., n. 38 ad art. 372 CC, p. 442 ; Langenegger, Basler Kommentar, 4e éd., 2010, n. 14 ad art. 372 CC, p. 1846 ; CTUT 3 novembre 2006/239).</w:t>
      </w:r>
    </w:p>
    <w:p>
      <w:r>
        <w:t>- 10 - b) L’appelant critique l’état de fait du jugement entrepris et notamment le point de vue exprimé par les médecins de la Fondation H.________ selon lesquels il serait incapable de discernement et qu’il vivrait enfermé chez lui. Il explique que ces trois enfants peuvent s’occuper de lui, l’aider dans ses affaires administratives ou l’accompagner dans ses déplacements, si nécessaire, et dit vouloir produire un autre avis médical. Selon le procès-verbal de l’audience de la Justice de paix du 21 juin 2012, l’appelant a été personnellement entendu, en présence d’un interprète et de la directrice du CSI, L.________. L’audience a duré un quart d’heure. Le procès-verbal de l'audience indique que « Le Juge explique le rôle d’un tuteur. M. S.________ se déclare d’accord avec l’institution d’une mesure de tutelle en sa faveur ». L’appelant n’invoque pas qu’il n’aurait pas saisi, à ce moment-là, la portée de sa déclaration ou que les conséquences de son consentement ne lui auraient pas été expliquées. Par ailleurs, l’enquête a été ouverte au mois de novembre 2011 et une expertise a été diligentée, si bien que l’appelant a disposé du temps nécessaire pour réfléchir aux conséquences de son interdiction, sans compter que, pendant toute cette période, il a été accompagné par les professionnels du CSI. Dès lors, on doit considérer que la Justice de paix a pu s’assurer que le pupille comprenait et adhérait à la mesure envisagée et qu’il a valablement donné son consentement éclairé à l'institution d'une mesure de tutelle volontaire en sa faveur, ce qu'il ne conteste d’ailleurs pas. Il sied par conséquent d’examiner si les conditions pour prononcer l’interdiction civile de S.________ à forme de l’art. 372 CC sont, en l'espèce, réalisées. Selon le rapport d’expertise, l’appelant présente un trouble dépressif récurrent associé à des symptômes psychotiques, une forme de retard mental, un syndrome de dépendance à l’alcool et au tabac ainsi qu’une modification durable de la personnalité, après une expérience de catastrophe, caractérisée par les atrocités auxquelles il a assistées durant son enfance, lors de la guerre en Angola. Il s’agit de troubles chroniques et incurables, qui engendrent, à la faveur de stress même mineurs, des mécanismes adaptatifs pathologiques pouvant aller</w:t>
      </w:r>
    </w:p>
    <w:p>
      <w:r>
        <w:t>- 11 - jusqu'à des actes de violence. Le développement intellectuel incomplet de l'appelant et la sévère dépression dont il est affecté diminuent également sensiblement sa capacité de discernement. Ainsi, actuellement sans traitement, l’appelant est susceptible, à tout moment, de mettre sa vie en danger, ce qui justifie qu'une mesure de protection tutélaire soit prise en sa faveur, afin de le mettre à l’abri des facteurs de stress qui pourraient le conduire à manifester les mécanismes de défense évoqués ci-dessus. Dans ses écritures, l’appelant conteste le contenu de l’expertise, mais n'apporte cependant aucun élément ou aucune pièce susceptible de mettre en doute les conclusions de l'expert. Bien au contraire, ces conclusions sont corroborées par d’autres éléments au dossier. Ainsi, selon le signalement de la Fondation H.________, du 21 septembre 2011, l’appelant souffre de troubles psychiatriques qui rendent difficile et complexe la gestion du quotidien. Le CSI a également communiqué à la Justice de paix, au mois de décembre 2011, les éléments suivants : « la collaboration entre notre Service et M. S.________ s’est considérablement compliquée suite à une agressivité exacerbée liée à ses difficultés psychiques, et à des menaces, notamment de mort, proférées à l’encontre de l’assistante sociale en charge de son suivi. Le réseau de professionnels de la santé entourant M. S.________ est informé de ses agissements, dus selon son médecin-psychiatre à sa problématique de santé. » Dans un courrier du 24 septembre 2012 adressé à la Cour de céans, le CSI indique que le comportement de l’appelant ne lui permet pas de le prendre en charge, le Centre n’offrant pas la même protection à ses collaborateurs que celle apportée par l’Office du Tuteur général. Il est par conséquent indéniable qu'une tutelle est la seule mesure susceptible de protéger efficacement l’appelant, ni ses enfants, ni même son épouse – laquelle doit aussi bénéficier de l'aide tutélaire – n'étant en mesure de le prendre en charge, contrairement à ce qu'il soutient. La tâche d'assister le pupille ne peut donc être confiée qu'à un professionnel.</w:t>
      </w:r>
    </w:p>
    <w:p>
      <w:r>
        <w:t>- 12 - Ainsi, la cause et la condition de l'interdiction du pupille étant réalisées, le maintien de la tutelle instauré à son endroit se justifie au regard de l'art. 372 CC; en outre, il est conforme au principe de proportionnalité.</w:t>
      </w:r>
    </w:p>
    <w:p>
      <w:r>
        <w:rPr>
          <w:b/>
        </w:rPr>
        <w:t>E. 4</w:t>
      </w:r>
    </w:p>
    <w:p>
      <w:r>
        <w:t>En conclusion, l’appel formé par S.________ doit être rejeté et la décision entreprise confirmée. Le présent arrêt peut être rendu sans frais, conformément à l'art. 236 al. 2 aTFJC (Tarif du 4 décembre 1984 des frais judiciaires en matière civile, RSV 270.11.5) qui continue à s'appliquer pour toutes les procédures visées par l'art. 174 CDPJ (art. 100 TFJC, Tarif du 28 septembre 2010 des frais judiciaires civils, RSV 270.11.5). Par ces motifs, la Chambre des tutelles du Tribunal cantonal, statuant à huis clos, prononce : I. L'appel est rejeté. II. La décision est confirmée. III. L'arrêt est rendu sans frais. Le président : La greffière : Du 1er octobre 2012 Le dispositif de l'arrêt qui précède est communiqué par écrit aux intéressés.</w:t>
      </w:r>
    </w:p>
    <w:p>
      <w:r>
        <w:t>- 13 - La greffière : Du L'arrêt qui précède, dont la rédaction a été approuvée à huis clos, est notifié à : - M. S.________, - Office du Tuteur général.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