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236 vom 20. September 2012</w:t>
      </w:r>
    </w:p>
    <w:p>
      <w:r>
        <w:t>VD Tribunal cantonal, 2012-09-20, FR</w:t>
      </w:r>
    </w:p>
    <w:p>
      <w:r>
        <w:rPr>
          <w:b/>
        </w:rPr>
        <w:t xml:space="preserve">Quelle: </w:t>
      </w:r>
      <w:r>
        <w:t>https://mcp.opencaselaw.ch/entscheid/vd_gerichte_236</w:t>
      </w:r>
    </w:p>
    <w:p>
      <w:r>
        <w:t>FR: VD_GERICHTE 236 du 20 septembre 2012</w:t>
      </w:r>
    </w:p>
    <w:p>
      <w:r>
        <w:t>IT: VD_GERICHTE 236 del 20 settembre 2012</w:t>
      </w:r>
    </w:p>
    <w:p>
      <w:pPr>
        <w:pStyle w:val="Heading2"/>
      </w:pPr>
      <w:r>
        <w:t>Erwägungen</w:t>
      </w:r>
    </w:p>
    <w:p>
      <w:r>
        <w:rPr>
          <w:b/>
        </w:rPr>
        <w:t>E. 1</w:t>
      </w:r>
    </w:p>
    <w:p>
      <w:r>
        <w:t>L'appel est dirigé contre une décision de l'autorité tutélaire instituant en particulier une mesure de tutelle à forme de l'art. 369 CC en faveur de l'appelant. a) En vertu de l'art. 393 CPC-VD (Code de procédure civile du 14 décembre 1966 ; RSV 270.11), qui demeure applicable conformément à l'art. 174 CDPJ (Code de droit privé judiciaire vaudois du 12 janvier 2010 ; RSV 211.01), les jugements rendus par la justice de paix en matière d'interdiction peuvent faire l'objet d'un appel au Tribunal cantonal, soit à la Chambre des tutelles (art. 76 al. 2 LOJV [loi vaudoise d'organisation judiciaire du 12 décembre 1979 ; RSV 173.01]), dans les dix jours dès leur notification. L'appel est ouvert au dénoncé, au dénonçant ainsi qu'au Ministère public (art. 393 al. 1 CPC-VD). L'appel reporte la cause en son entier, c'est-à-dire en fait et en droit, devant la Chambre des tutelles. L'autorité d'appel n'est pas liée par l'état de fait arrêté par la juridiction inférieure, ni par l'appréciation des témoignages ou par les moyens de preuve offerts par les parties ; elle peut procéder à toutes mesures d'instruction qu'elle juge utiles (art. 393 al. 3 CPC-VD; Poudret/Haldy/Tappy, Procédure civile vaudoise, 3e éd., Lausanne 2002, note ad art. 393 CP-VD, p. 599; Zurbuchen, La procédure d'interdiction, thèse Lausanne 1991, pp. 169 et 170). b) En l'espèce, interjeté en temps utile par la personne interdite ainsi que par la dénonçante, le présent appel est recevable à la forme. Il en va de même des pièces jointes à l’appel.</w:t>
      </w:r>
    </w:p>
    <w:p>
      <w:r>
        <w:t>- 7 -</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par les art. 379 ss CPC-VD, sous réserve des règles de procédure fédérale définies aux art. 373 à 375 CC. b) Selon l'art. 379 al. 1 CPC-VD (dans sa teneur en vigueur depuis le 1er octobre 2004), les dénonciations à fin d'interdiction émanant d'une autorité administrative ou judiciaire et les demandes d'interdiction formées par les particuliers sont adressées à la justice de paix du domicile ou, à défaut, de la résidence de la personne à interdire. Cette règle correspond à la norme fédérale régissant le for tutélaire (art. 376 al. 1 CC). En cas de changement de domicile durant la procédure d'interdiction, les autorités de tutelle de l'ancien domicile restent compétentes ratione loci (Deschenaux/Steinauer, Personnes physiques et tutelle, 4e éd., 2001, n. 858c, p. 338 et les références citées ; Poudret/Haldy/Tappy, op. cit., n. 1 ad art. 379 CPC-VD, p. 586). Le Tribunal fédéral a précisé que le domicile au moment de l'introduction de la procédure est décisif; la compétence ainsi établie subsiste jusqu'à la conclusion définitive de la procédure, afin d'éviter qu'un changement de domicile de l'intéressé puisse retarder ou entraver son aboutissement (TF 5C.200/2002 du 16 octobre 2002 c. 2, rés. in RDT 2003 p. 131 [RJ 26.03]). c) Aux termes de l’art. 380 CPC-VD (dans sa teneur en vigueur depuis le 1er octobre 2004), le juge de paix procède, avec l'assistance du greffier, à une enquête afin de préciser et de vérifier les faits qui peuvent provoquer l'interdiction ; à ce titre, il recueille toutes les preuves utiles (al. 1). Il entend la partie dénonçante et le dénoncé qui peuvent requérir des mesures d'instruction complémentaires ; il entend toute personne dont le témoignage lui paraît utile ; les dépositions sont résumées au procès- verbal de l'audience dans ce qu'elles ont d'utile à retenir (al. 2). Le juge de</w:t>
      </w:r>
    </w:p>
    <w:p>
      <w:r>
        <w:t>- 8 - paix sollicite le préavis de la municipalité du domicile du dénoncé (al. 3). Si, bien que régulièrement assigné, le dénoncé ne comparaît pas, le juge de paix peut décerner contre lui un mandat d'amener (al. 4). Si l'interdiction est demandée pour cause de maladie mentale ou de faiblesse d'esprit, le juge ordonne, après avoir, sauf exception, entendu le dénoncé, une expertise médicale, confiée à un expert qui entend le dénoncé ; le juge n'entend pas le dénoncé lorsque, fondé sur l'expertise médicale, il tient l'audition pour inadmissible ou manifestement inutile ; ce rapport est soumis au Conseil de santé (al. 5). Selon l’art. 382 CPC-VD (dans sa teneur en vigueur depuis le 1er octobre 2004), l'enquête terminée, le juge de paix la soumet à la justice de paix, qui peut ordonner un complément d'enquête (al. 1). La justice de paix entend le dénoncé, sous réserve de l’art. 380 al. 5 CPC-VD (al. 2). Si la justice de paix estime cette mesure justifiée, elle rend un prononcé d'interdiction et nomme le tuteur ou place l'interdit sous autorité parentale en conformité avec l'art. 385 al. 3 CC (al. 3). Si le dénoncé consent à la mesure, il en est fait mention au procès-verbal (al. 4). La décision de la justice de paix est motivée (al. 5). d) En l'espèce, le pupille était domicilié à Villeneuve lorsque le Juge de paix du district d’Aigle a ouvert l'enquête en interdiction civile à son endroit. La Justice de paix de ce district était donc compétente pour rendre la décision querellée. Le Juge de paix a entendu la mère du pupille, le 5 janvier 2012. Il a procédé à une enquête et ordonné l'expertise médicale du jeune homme. Il a soumis le rapport d'expertise au Médecin cantonal, lequel, agissant sur délégation du Conseil de santé, a déclaré ne pas avoir d'observation à formuler. La Municipalité de Villeneuve a informé le Juge de paix ne pas avoir d'avis à faire valoir à propos de la mesure d’interdiction civile envisagée. Au terme de l'enquête, le Juge de paix a déféré la cause à la Justice de paix qui a entendu G.________, son fils et F.________ de Pro Infirmis Vaud, lors de sa séance du 31 mai 2012.</w:t>
      </w:r>
    </w:p>
    <w:p>
      <w:r>
        <w:t>- 9 - Les appelants se plaignent d'une violation de leur droit d’être entendus, faisant valoir que le rapport d’expertise déposé par le Dr W.________, le 21 mai 2012, ne leur a pas été remis avant l’audience du 31 mai 2012, ce qui les a empêchés de se préparer en connaissance de cause, et que le pupille n’a pas été cité à comparaître personnellement à l’audience de la Justice de paix, alors que l'expert avait préconisé son audition. Selon le procès-verbal de l'audience précitée, le juge a lu aux comparants les extraits les plus essentiels du rapport d’expertise, ajoutant qu'il pouvait le leur mettre à disposition dans son intégralité s'ils souhaitaient plus amplement le consulter. Une fois connues les réponses de l’expert aux questions posées, le juge a terminé la lecture du rapport en dépit de la demande des appelants de l'arrêter. Les appelants ont confirmé qu’ils s’opposaient à l'instauration d'une mesure tutélaire, le représentant de Pro Infirmis Vaud objectant, pour sa part, qu'une mise sous tutelle était nécessaire. Au vu des éléments qui précèdent, le droit d’être entendu des appelants n’apparaît pas avoir été violé : les intéressés ont pu s’exprimer et ont pu prendre position sur le rapport d’expertise, même si son contenu n’a été porté à leur connaissance que le jour de l’audience. Au demeurant, les appelants n'ont pas requis, après la lecture du rapport, l'octroi d'un délai supplémentaire pour préparer leur défense. En outre, si la citation à comparaître à l'audience n'a effectivement été adressée qu'à la mère du pupille, et non également à celui-ci (cf. citation du 22 mai 2012), cette omission, même si elle est regrettable, n’a pas porté à conséquence : la dénonçante a comparu, accompagnée de son fils, et l’un et l’autre ont été entendus. A cela s’ajoute que le Juge de paix a réservé, en début d’audience, l’audition séparée du dénoncé, mais qu’il y a été renoncé en fin d’audience, celui-ci ayant déclaré ne rien vouloir, soit ne pas vouloir de mesure tutélaire.</w:t>
      </w:r>
    </w:p>
    <w:p>
      <w:r>
        <w:t>- 10 - Dans la mesure où le droit d'être entendu des appelants a été respecté, le moyen invoqué à ce titre par les intéressés est par conséquent infondé. Rendue en application des règles de procédure requises, la décision de la Justice de paix peut donc être examinée quant au fond.</w:t>
      </w:r>
    </w:p>
    <w:p>
      <w:r>
        <w:rPr>
          <w:b/>
        </w:rPr>
        <w:t>E. 3</w:t>
      </w:r>
    </w:p>
    <w:p>
      <w:r>
        <w:t>juillet 2003, in FamPra.ch 2003, p. 975 ; TF 5A_568/2007 du 4 février 2008 ; TF 5A_541/2010 du 1er octobre 2010 c. 3.1 ; TA 5A_55/2010 du 9 mars 2010 c. 5.1 et les références citées). Selon la jurisprudence du Tribunal fédéral (TF 5A_82/2011 du 8 avril 2011), la tâche d'assister le pupille sur un plan personnel peut être confiée non seulement à un tuteur, mais aussi à un conseil légal (ATF 96 II 369 c. 1d pp. 373-374). Toutefois, l'assistance personnelle ne doit pas être le principal objet de la protection par un conseil légal ; celui-ci tend à préserver en premier lieu les intérêts – ou l'existence – économiques de la personne à assister (ATF 108 II 92 c. 4 p. 94 ; 103 II 81 ; TF 5C.92/1999 du 20 mai 1999 c. 4b). Il ne saurait, en revanche, garantir une protection suffisante lorsqu'une surveillance et une aide personnelles durables sont nécessaires; seul le tuteur a les moyens de mettre en oeuvre une protection étendue (art. 406 CC ; ATF 97 II 302 ; TF 5C.74/2003 du 3 juillet 2003 c. 4.3.1, in FamPra.ch 2003, 975 ; TF 5A_389/2007 du 19 septembre</w:t>
      </w:r>
    </w:p>
    <w:p>
      <w:r>
        <w:t>- 12 - 2007 c. 4.2 ; TF 5C.17/2005 du 8 avril 2005 c. 5.3). D'éventuelles mesures contraignantes relèvent de la compétence du tuteur (art. 406 al. 2 CC ; Stettler, Droit civil I, Représentation et protection de l'adulte, 4e éd., n. 305 et la jurisprudence citée). Le conseil légal, qui n'est pas un représentant légal, ne peut en effet ni donner d'instructions ni user de contrainte envers la personne assistée ; il ne peut demander un placement dans un établissement ni ordonner un traitement ambulatoire (ATF 96 II 369 c. 1d pp. 373-374). La nomination d'un curateur, dont la mission peut également englober l'assistance personnelle (art. 392 ch. 1 CC ; TF 5A_568/2007 du 4 février 2008 c. 2 et les références), implique, de la part de la personne concernée, une collaboration avec le curateur, celle-ci étant indispensable au succès d'une telle mesure (TF 5C.74/2003 du 3 juillet 2003 c. 4.3.1, in FamPra 2003, 975). b) Les appelants contestent la nécessité d’une mesure tutélaire, se référant à cet égard au rapport d’expertise, à l’avis de la Dresse C.________ et à celui de l’assistant social de Pro Infirmis Vaud. S’il est vrai que, dans la partie « Discussion » de son rapport, l'expert ne semble pas considérer une mesure tutélaire comme indispensable mais seule-ment utile à l’expertisé, il résulte cependant de ses différents entretiens avec les intervenants qu'un assez large consensus s'est dégagé en faveur de l’instauration d’une mesure tutélaire (cf. rapport d’expertise, p. 7). De surcroît, après avoir relevé que le retard mental léger dont souffre l’expertisé était chronique et incurable, l'expert a déclaré, dans sa réponse à la question 4, que l’expertisé ne pouvait se passer d’une assistance ou d’une aide permanente et qu’il devait pouvoir compter sur l’aide d’une tierce personne, apte à l’assister et à le guider. De même, en réponse à la question 6, il a clairement précisé que le représentant légal du pupille devait être choisi en-dehors du cercle familial. Par ailleurs, il résulte des propos de la Dresse C.________, qui suit l’expertisé depuis plusieurs mois au Centre [...], rattaché à la Fondation [...], qu'elle n'imagine pas que son patient soit à même d’assumer une vie complètement autonome, bénéficiant du cadre que lui offre son internat actuel. De même, elle a confirmé les limites de la dénonçante, malgré ses</w:t>
      </w:r>
    </w:p>
    <w:p>
      <w:r>
        <w:t>- 13 - bonnes intentions à l’égard de son fils (cf. rapport d'expertise, p. 5). Quant à l’assistant social de Pro Infirmis Vaud, il s’est montré beaucoup plus catégorique devant la Justice de paix, que lorsqu’il avait été entendu par l’expert (cf. rapp. d’exp., p. 5), sur la nécessité de prononcer l'interdiction civile de l'appelant et de lui désigner un tuteur. Par conséquent, c’est sans violer le droit fédéral que la Justice de paix a placé le pupille sous tutelle et qu’elle lui a nommé un tuteur, choisi en-dehors du cercle familial, en la personne du Tuteur général, considérant que la situation du pupille constituait un cas lourd. D'ailleurs, le Tuteur Général a accepté sa mission. Le second moyen invoqué à ce titre par les appelants est par conséquent infondé.</w:t>
      </w:r>
    </w:p>
    <w:p>
      <w:r>
        <w:rPr>
          <w:b/>
        </w:rPr>
        <w:t>E. 4</w:t>
      </w:r>
    </w:p>
    <w:p>
      <w:r>
        <w:t>a) Il s'ensuit que l'appel doit être rejeté et la décision de l'autorité tutélaire confirmée. b) L'arrêt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civils, RSV 270.11.5). c) Par décision du 16 juillet 2012, M.________ et G.________ ont par ailleurs été mis au bénéfice de l'assistance judiciaire. La loi vaudoise du 24 novembre 1981 sur l'assistance judiciaire en matière civile (LAJ) a été abrogée dès l'entrée en vigueur du CDPJ (art. 173 CDPJ), soit dès le 1er janvier 2011. Depuis cette date, il faut donc considérer que les questions relatives à l'assistance judiciaire sont, dans les procédures relatives à la protection de l’enfant, à l’interdiction et à la mainlevée de cette mesure, ainsi qu'à la privation de liberté à des fins</w:t>
      </w:r>
    </w:p>
    <w:p>
      <w:r>
        <w:t>- 14 - d'assistance, qui demeurent soumises aux dispositions du CPC-VD, régies par les art. 117 à 123 CPC (Code de procédure civile du 19 décembre 2008, RS 272), applicables à titre supplétif (JT 2011 III 150 ; CTUT 18 juillet 2011/143 c. 2a).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A cet égard, le juge apprécie l'étendue des opérations nécessaires pour la conduite du procès et applique un tarif horaire de 180 francs. Au vu de la liste des opérations produite le 18 juillet 2012 et des difficultés de la cause, l'accomplissement de la mission confiée à Raphaël Tatti, conseil des appelants, a nécessité un temps d'exécution de huit heures. Compte tenu du tarif horaire rappelé ci-dessus, il convient donc de lui verser une indemnité totale de 1'639 fr. 55, comprenant 78 fr. 10 de débours et la TVA. En outre, dans la mesure de l'art. 123 CPC, les bénéficiaires de l'assistance judiciaire sont tenus au remboursement de l'indemnité au conseil d'office mise à la charge de l'Etat Par ces motifs, la Chambre des tutelles du Tribunal cantonal, statuant à huis clos, prononce : I. L'appel est rejeté. II. La décision est confirmée.</w:t>
      </w:r>
    </w:p>
    <w:p>
      <w:r>
        <w:t>- 15 - III. L'arrêt est rendu sans frais. IV. L'indemnité allouée à Me Raphaël Tatti, conseil d'office de M.________ et G.________, est fixée à 1'639 fr. 55 (mille six cent trente-neuf francs et cinquante-cinq centimes), TVA et débours compris. V. Les bénéficiaires de l'assistance judiciaire sont, dans la mesure de l'art. 123 CPC, tenus au remboursement de l'indemnité du conseil d'office mise à la charge de l'Etat. Le vice-président : La greffière : Du 20 septembre 2012 Le dispositif de l'arrêt qui précède est communiqué par écrit aux intéressés. La greffière : Du L'arrêt qui précède, dont la rédaction a été approuvée à huis clos, est notifié à : - Me Raphaël Tatti (pour M. M.________ et Mme G.________),</w:t>
      </w:r>
    </w:p>
    <w:p>
      <w:r>
        <w:t>- 16 - et communiqué à :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