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235 vom 18. September 2012</w:t>
      </w:r>
    </w:p>
    <w:p>
      <w:r>
        <w:t>VD Tribunal cantonal, 2012-09-18, FR</w:t>
      </w:r>
    </w:p>
    <w:p>
      <w:r>
        <w:rPr>
          <w:b/>
        </w:rPr>
        <w:t xml:space="preserve">Quelle: </w:t>
      </w:r>
      <w:r>
        <w:t>https://mcp.opencaselaw.ch/entscheid/vd_gerichte_235</w:t>
      </w:r>
    </w:p>
    <w:p>
      <w:r>
        <w:t>FR: VD_GERICHTE 235 du 18 septembre 2012</w:t>
      </w:r>
    </w:p>
    <w:p>
      <w:r>
        <w:t>IT: VD_GERICHTE 235 del 18 settembre 2012</w:t>
      </w:r>
    </w:p>
    <w:p>
      <w:pPr>
        <w:pStyle w:val="Heading2"/>
      </w:pPr>
      <w:r>
        <w:t>Erwägungen</w:t>
      </w:r>
    </w:p>
    <w:p>
      <w:r>
        <w:rPr>
          <w:b/>
        </w:rPr>
        <w:t>E. 1</w:t>
      </w:r>
    </w:p>
    <w:p>
      <w:r>
        <w:t>a) L'appel est dirigé contre une décision de l'autorité tutélaire instituant une mesure de tutelle à forme de l'art. 369 CC en faveur de l'appelant. b) Conformément à l'art. 393 al. 1 CPC-VD (Code de procédure civile du 14 décembre 1966, RSV 270.11), qui demeure applicable aux décisions rendues après le 1er janvier 2011 (art. 174 CDPJ [Code de droit privé judiciaire vaudois du 12 janvier 2010, RSV 211.01]), les décisions rendues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s.; CTUT 23 juin 2005/94). c) Interjeté en temps utile par la personne interdite, le présent appel est recevable à la forme. Il en va de même de l'écriture déposée par la dénonçante dans le délai imparti (art. 393 al. 3 CPC-VD). d) L'existence d'un intérêt à recourir est une condition de recevabilité de tout recours (ATF 127 III 429 c. 1b; ATF 118 II 108 c. 2c); l'absence d'un tel intérêt doit être relevée d'office.</w:t>
      </w:r>
    </w:p>
    <w:p>
      <w:r>
        <w:t>- 10 - Dès lors que l'autorité tutélaire a renoncé en l'état à ordonner le placement de N.________ (cf. chiffre VI du dispositif de la décision querellée), le recours dirigé contre la décision relative à la privation de liberté à des fins d'assistance n'a pas d'objet.</w:t>
      </w:r>
    </w:p>
    <w:p>
      <w:r>
        <w:rPr>
          <w:b/>
        </w:rPr>
        <w:t>E. 2</w:t>
      </w:r>
    </w:p>
    <w:p>
      <w:r>
        <w:t>a) En matière non contentieuse, réglée par le droit cantonal (art. 373 al. 1 CC), la Chambre des tutelles peut examiner d'office si les règles essentielles de la procédure d'interdiction, dont la violation pourrait entraîner l'annulation du jugement attaqué, ont été respectées (Poudret/Haldy/Tappy, Procédure civile vaudoise, 3e éd., Lausanne 2002, nn. 3 et 4 ad art. 492 CPC-VD, p. 763).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Le moment où la procédure d'interdiction est introduite est décisif (Deschenaux/Steinauer, Personnes physiques et tutelle, 4e éd., Berne 2001, n. 892a, p. 348).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w:t>
      </w:r>
    </w:p>
    <w:p>
      <w:r>
        <w:t>- 11 -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L'interdit doit être entendu. Cette règle n'est expressément prévue que pour les cas d'interdiction fondés sur l'art. 370 CC (art. 374 al. 1 CC); elle a cependant une portée générale et s'applique également aux cas d'interdiction pour cause de maladie mentale et de faiblesse d'esprit lorsque le rapport d'expertise déclare l'audition de l'intéressé admissible (ATF 117 II 379 c. 2; TF 5A_457/2010 du 11 octobre 2010 c. 2.1; Deschenaux/Steinauer, op. cit., n. 902, p. 351; Poudret/ Haldy/Tappy, op. cit., n. 1 ad art. 381 CPC-VD, p. 591). L'audition au sens de l'art. 374 CC n'est pas seulement un droit inhérent à la défense de l'intéressé auquel celui-ci est libre de renoncer. Elle est aussi un moyen pour l'autorité d'éluder d'office les faits et de se forger un avis personnel tant sur la disposition mentale de la personne concernée que la nécessité d'ordonner ou de maintenir la mesure tutélaire (ATF 117 II 379 c. 2; TF 5A_457/2010 du 11 octobre 2010 c. 2.1). La personne à interdire doit pouvoir se déterminer sur tous les faits essentiels qui pourraient conduire à son interdiction (ATF 96 II 15). Si l'intéressé ne donne pas suite à la citation à comparaître, l'interdiction ne saurait donc, en règle générale, être tout simplement prononcée sur la base du dossier.</w:t>
      </w:r>
    </w:p>
    <w:p>
      <w:r>
        <w:t>- 12 - L'autorité doit entendre la personne, même contre sa volonté et, si elle ne se présente pas, la cite à nouveau, se déplace pour l'entendre ou la fait entendre là où elle se trouve, au besoin par délégation (ATF 109 II 295, JT 1985 I 343; Deschenaux/Steinauer, op. cit., n. 902c, p. 352; CTUT 23 novembre 2009/244 c. 2b). c/aa) En l'espèce, l'appelant était domicilié à Lausanne au moment de l'ouverture de l'enquête en interdiction civile et en privation de liberté à des fins d'assistance à son égard. La Justice de paix du district de Lausanne était donc compétente pour décider de l'institution éventuelle d'une mesure de tutelle. Le Juge de paix a procédé à une enquête. Lors de son audience du 23 septembre 2009, il a entendu la sœur de l'appelant, ce dernier ne s'étant pas présenté. La Municipalité de Lausanne s’est déterminée le 3 novembre 2009. Le Juge de paix a ordonné une expertise psychiatrique (rapport d'expertise établi le 28 janvier 2011 par les médecins du Département de psychiatrie du CHUV) dont il a soumis le rapport au Conseil de santé, qui, par l'intermédiaire du Médecin cantonal agissant par délégation, a déclaré ne pas avoir d'observation à formuler. L’enquête terminée, le juge de paix l’a soumise à la justice de paix qui a tenu une audience le 29 mars 2011. Lors de celle-ci, il a été procédé à l'audition de la sœur de l'appelant uniquement, ce dernier bien que régulièrement cité ne s'étant pas présenté. Ensuite de l'arrêt rendu par la Cour de céans le 22 septembre 2011 annulant la décision de la Justice de paix du 29 mars 2011, celle-ci a tenu une nouvelle audience le 31 janvier 2012, lors de laquelle la sœur de l'appelant a à nouveau été entendue contrairement à ce dernier qui a finalement été entendu le 8 mai 2012. Lors de cette audience, l'appelant a eu la faculté de faire valoir son point de vue sur tous les faits essentiels qui pouvaient conduire à son interdiction. bb) L'appelant reproche à l'autorité tutélaire de ne pas avoir procédé à l'audition de sa mère, qui aurait témoigné de sa bonne volonté et de la fausseté des allégations de ses frère et sœur à son encontre. Il ressort du dossier que l'appelant n'a pas requis l'audition de cette dernière</w:t>
      </w:r>
    </w:p>
    <w:p>
      <w:r>
        <w:t>- 13 - lorsqu'il a été cité à comparaître, qu'il ne l'a pas amenée à l'audience pour être entendue et qu'il n'a à aucun moment requis son audition au cours de celle-ci. Partant, l'appelant ne saurait se plaindre d'une violation de son droit d'être entendu. Cela étant, il ressort de ses propres déclarations que l'appelant a eu des frictions avec sa mère (cf. décision querellée, p. 2). cc) L'appelant invoque le fait qu'il n'aurait pas disposé d'une complète information préalable indispensable à sa défense. Les citations à comparaître qui lui ont été adressées les 16 novembre 2011 et 9 février 2012 indiquaient qu'il était convoqué pour être entendu dans le cadre de la clôture de l'enquête en interdiction civile et en privation de liberté à des fins d'assistance le concernant ensuite de l'arrêt de la Chambre des tutelles du Tribunal cantonal. L'appelant pouvait sans autre prendre connaissance du dossier avant l'audience. Lors de celle-ci, il pouvait à tout moment demander une suspension d'audience pour en prendre connaissance. Son droit d'être entendu a également été respecté sous cet angle. d/aa) L'appelant se plaint de ce que les déclarations émises par les experts seraient le produit de pures spéculations et du fait qu'il n'aurait rencontré qu'un seul médecin à deux reprises dans le cadre de toute cette affaire. Il reproche à l'autorité tutélaire de n'avoir ordonné aucune nouvelle expertise ou complément d'expertise ensuite de sa première opposition. bb) L'interdiction pour cause de maladie mentale ou de faiblesse d'esprit ne peut être prononcée que sur un rapport d'expertise (art. 374 al. 2 CC). Le droit fédéral est notamment violé si l'interdiction est prononcée en l'absence d'une expertise ou si celle-ci est trop ancienne (Schnyder/Murer, Commentaire bernois, Berne 1984, nn. 97 et 136 ad art. 374 CC). Il n'impose en revanche pas une seconde expertise; il appartient au juge du fait de décider souverainement s'il y a lieu de recourir à l'avis d'autres médecins (ATF 39 II 1 c. 3 p. 4; TF 5A_689/2010 du 3 mars 2011 c. 2.1). Comme en matière de privation de liberté à des fins d'assistance (art. 397e ch. 5 CC), l'expert doit être un spécialiste et être exempt de</w:t>
      </w:r>
    </w:p>
    <w:p>
      <w:r>
        <w:t>- 14 - prévention (Schnyder/Murer, op. cit., nn. 90 et 96 ad art. 374 CC; TF 5A_689/2010 du 3 mars 2011 c. 2.1 et les références citées). cc) En l'espèce, la décision querellée se fonde sur le rapport d'expertise rendu le 28 janvier 2011 par les Drs [...] et [...], respectivement médecin associé et chef de clinique au Département de psychiatrie du CHUV. S'agissant de spécialistes en psychiatrie et ne s'étant pas déjà prononcés dans le cadre d'une même procédure sur l'état de santé de l'appelant, ils remplissent les conditions posées par la doctrine et la jurisprudence précitées. Il ressort du rapport d'expertise litigieux que le Dr [...] a rencontré l'appelant à trois reprises dans le courant du mois de juillet 2010. Convoqué à un nouvel entretien pour effectuer des tests psychologiques, l'appelant a refusé d'y prendre part faisant valoir qu'il se sentait victime d'injustice et d'irrégularités dans la procédure le concernant. Les experts ont cependant considéré que les observations cliniques faites durant les trois entretiens avec l'appelant et les informations recueillies leur permettaient de répondre aux questions posées par la Justice de paix. Dès lors qu'il s'est lui-même opposé à se rendre au dernier entretien, l'appelant ne saurait se plaindre de n'avoir rencontré qu'un seul médecin à deux (recte : trois) reprises. Au regard des réponses complètes apportées par les experts aux questions posées par la Justice de paix, ni un rapport d'expertise complémentaire, ni une seconde expertise n'apparaissaient nécessaires. e) Au regard des éléments qui précèdent, la décision entreprise est formellement correcte et peut être examinée sur le fond.</w:t>
      </w:r>
    </w:p>
    <w:p>
      <w:r>
        <w:rPr>
          <w:b/>
        </w:rPr>
        <w:t>E. 3</w:t>
      </w:r>
    </w:p>
    <w:p>
      <w:r>
        <w:t>juillet 2002, in FamPra.ch 2003, p. 975; TF 5A_55/2010 du 9 mars 2010, in SJ 2011 I 130). La mesure tutélaire doit avoir l'efficacité recherchée, tout en sauvegardant au maximum la sphère de liberté de l'intéressé (Deschenaux/Steinauer, op. cit., n. 862; TF 5A_550/2008 du 6 octobre 2008). Si plusieurs mesures paraissent aptes à atteindre le but visé, il faut choisir la plus légère. Il convient ainsi de préférer un conseil légal ou une curatelle à une tutelle si ces mesures sont suffisantes (Deschenaux/Steinauer, op. cit., nn. 861 s., pp. 339 s.; Zurbuchen, op. cit., pp. 124 et 125). c) Selon le rapport établi le 28 janvier 2011 par les médecins du Département de psychiatrie du CHUV, l'appelant souffre d'un trouble schizotypique et d'une consommation nocive pour la santé de cannabis. L'affection dont il souffre – appartenant aux troubles du spectre de la schizophrénie et aux troubles de la personnalité – est fortement ancrée dans la personnalité et le fonctionnement relationnel de la personne; il s'agit d'une affection chronique dont la durée ne peut être prévue. L'appelant ne se considère pas comme malade et pense ne pas avoir besoin d'aide. Les experts relèvent que cette caractéristique peut conduire à une péjoration du pronostic dès lors que la personne intéressée ne consulte pas ou n'adhère pas aux soins proposés, ce qui est le cas de l'appelant qui a déclaré lors de son audition le 8 mai 2012 qu'il n'avait pas de médecin et n'avait pas consulté son généraliste depuis deux ans (cf. décision querellée, p. 1) et qui semble refuser tout traitement thérapeutique depuis 1997 déjà (cf. courrier du Dr [...] du 12 octobre 2009; courriers de la sœur de l'appelant des 30 juillet 2009 et 25 octobre</w:t>
      </w:r>
    </w:p>
    <w:p>
      <w:r>
        <w:t>- 17 - 2010). L'appelant présente un trouble qui n'est pas en soi de nature à l'empêcher d'apprécier la portée de ses actes ou de gérer ses affaires sans les compromettre et il n'a pas fait preuve d'absence de discernement durant ses entretiens avec les experts. Ces derniers observent cependant qu'à la lecture de ses messages et des déclarations de sa sœur, l'appelant semble présenter des moments où les symptômes liés à son trouble sont plus francs – même s'il le nie ou n'en a pas conscience – et des troubles importants du comportement depuis longtemps déjà et, qu'en fonction de leur intensité et de leur durée, qu'ils n'ont pas pu évaluer, sa capacité à apprécier la portée de ses actes ou à gérer ses affaires pourrait être diminuée. Les experts ont également fait état de la nécessité pour l'appelant de recevoir une aide sociale pouvant lui être amenée par des mesures tutélaires si sa situation sociale s'avérait catastrophique et ne pas avoir évolué depuis longtemps. En l'occurrence, l'appelant s'est fait expulser en 2010 de son appartement et séjourne provisoirement chez sa mère, avec qui il admet avoir des frictions et chez qui les forces de l'ordre ont déjà eu à intervenir en raison de son comportement vis-à-vis de cette dernière. Il sait qu'il doit quitter prochainement l'appartement de sa mère, mais ne dispose, en dehors d'une incertaine colocation dont il n'a pas précisé les modalités, d'aucune solution de logement. Il est sans revenu et a plusieurs poursuites ouvertes à son encontre. Cette situation perdure à tout le moins depuis son expulsion deux ans auparavant. Au regard de ces éléments, l'appelant, contrairement à ce qu'il affirme devant les experts et l'autorité tutélaire, ne gère absolument pas sa situation sociale qui est alarmante et rend nécessaire l'institution d'une mesure tutélaire en sa faveur. Il résulte des conclusions de l'expertise, qui sont convaincantes et qui restent actuelles, que tant la cause (état mental anormal) que la condition (besoin spécial de protection sous la forme d'une aide permanente) de l'interdiction civile sont réalisées. La situation de l'appelant ne paraît pas en voie d'être améliorée, puisque celui-ci est sans solution de logement, endetté et sans revenu et qu'il ne suit aucun traitement médicamenteux ou psychothérapeutique. Par ailleurs, l'appelant vit dans le déni persistant du caractère maladif de ses troubles,</w:t>
      </w:r>
    </w:p>
    <w:p>
      <w:r>
        <w:t>- 18 - ce qui peut encore péjorer son pronostic, dès lors qu'il ne consulte pas et ne veut pas adhérer aux propositions d'assistance ou de soin. Dans leur rapport, les experts n'ont pas préconisé l'institution d'une mesure tutélaire en particulier. Cela étant, une mesure moins contraignante, telle une mise sous curatelle apparaît en l'espèce comme clairement insuffisante. Pareille mesure présuppose en effet une volonté du pupille de collaborer, dès lors qu'il conserve sa capacité civile (art. 417 al. 1 CC) et peut contrecarrer les actes du curateur (TF 5A_55/2010 du 9 mars 2010 c. 5.3, in SJ 2011 I 130; TF 5C.262/2002 du 6 mars 2003, résumé in RDT 2003 117, p. 130 s.); or, cette volonté de coopération fait totalement défaut chez l'appelant qui s'oppose catégoriquement à l'institution d'une mesure tutélaire en sa faveur estimant être en possession de ses moyens (cf. décision querellée, p. 2) et qui refuse tout suivi ou traitement médical. Au vu de ce qui précède, l'interdiction civile de l'appelant est justifiée au regard de l'article 369 CC et conforme aux principes de subsidiarité et de proportionnalité. d) Par ailleurs, il y a lieu de préciser que la mesure envisagée n'affecte pas la liberté de conscience et de croyance de l'appelant telle que garantie par l'art. 15 Cst (Constitution fédérale de la Confédération suisse du 18 avril 1999, RS 101). Elle n'est en effet nullement fondée sur les convictions religieuses de l'intéressé, mais uniquement sur son besoin de protection, lié à son état mental au sens de l'art. 369 CC. Partant, le moyen de l'appelant est mal fondé.</w:t>
      </w:r>
    </w:p>
    <w:p>
      <w:r>
        <w:rPr>
          <w:b/>
        </w:rPr>
        <w:t>E. 4</w:t>
      </w:r>
    </w:p>
    <w:p>
      <w:r>
        <w:t>a) En définitive, le recours est sans objet, l'appel doit être rejeté et la décision entreprise confirmée. b) Le présent arrêt peut être rendu sans frais conformément à l'art. 236 al. 2 aTFJC (tarif des frais judiciaires en matière civile du 4</w:t>
      </w:r>
    </w:p>
    <w:p>
      <w:r>
        <w:t>- 19 - décembre 1984), qui continue à s'appliquer pour toutes les procédures visées à l'art. 174 CDPJ (art. 100 TFJC [tarif des frais judiciaires civils du 28 septembre 2010, RSV 270.11.5]) et à l'art. 396 al. 2 CPC-VD. Par ces motifs, la Chambre des tutelles du Tribunal cantonal, statuant à huis clos, prononce : I. Le recours est sans objet. II. L'appel est rejeté. III. La décision est confirmée. IV. L'arrêt est rendu sans frais. V. L'arrêt est exécutoire. Le président : La greffière : Du L'arrêt qui précède, dont la rédaction a été approuvée à huis clos, est notifié à : - N.________, - C.________, - Office du Tuteur général,</w:t>
      </w:r>
    </w:p>
    <w:p>
      <w:r>
        <w:t>- 20 -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