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220 vom 21. August 2012</w:t>
      </w:r>
    </w:p>
    <w:p>
      <w:r>
        <w:t>VD Tribunal cantonal, 2012-08-21, FR</w:t>
      </w:r>
    </w:p>
    <w:p>
      <w:r>
        <w:rPr>
          <w:b/>
        </w:rPr>
        <w:t xml:space="preserve">Quelle: </w:t>
      </w:r>
      <w:r>
        <w:t>https://mcp.opencaselaw.ch/entscheid/vd_gerichte_220</w:t>
      </w:r>
    </w:p>
    <w:p>
      <w:r>
        <w:t>FR: VD_GERICHTE 220 du 21 août 2012</w:t>
      </w:r>
    </w:p>
    <w:p>
      <w:r>
        <w:t>IT: VD_GERICHTE 220 del 21 agosto 2012</w:t>
      </w:r>
    </w:p>
    <w:p>
      <w:pPr>
        <w:pStyle w:val="Heading2"/>
      </w:pPr>
      <w:r>
        <w:t>Erwägungen</w:t>
      </w:r>
    </w:p>
    <w:p>
      <w:r>
        <w:rPr>
          <w:b/>
        </w:rPr>
        <w:t>E. 1</w:t>
      </w:r>
    </w:p>
    <w:p>
      <w:r>
        <w:t>a) Le recours est dirigé contre une décision de l'autorité tutélaire rendue dans le cadre de mesures de protection de l'enfant et fixant les modalités du droit de visite d'un père sur un enfant mineur, dont l’autorité parentale et la garde appartiennent à la mère. b) Contre une telle décision, le recours non contentieux de l'article 420 al. 2 CC est ouvert à tout intéressé (art. 420 al. 1 CC par analogie). Il relève de la procédure non contentieuse et s'instruit conformément aux art. 489 ss CPC-VD (Code de procédure civile du 14 décembre 1966, RSV 270.11; art. 109 al. 3 LVCC [loi d'introduction dans le Canton de Vaud du Code civil suisse du 30 novembre 1910, RSV 211.01]), qui restent applicables (art. 174 al. 2 CDPJ [Code de droit privé judiciaire vaudois du 12 janvier 2010, RSV 211.02); il s'exerce par acte écrit, devant la Chambre des tutelles (art. 76 LOJV [loi d'organisation judiciaire du 12 décembre 1979, RSV 173.01]), dans les dix jours dès la communication de la décision attaquée (art. 492 al. 1 et 2 CPC-VD). Lorsqu'elle est saisie du recours non contentieux de l'art. 420 al. 2 CC,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2001 III 121, 2000 III 109). c) Le présent recours, interjeté en temps utile par le père du mineur concerné qui y a intérêt (ATF 121 III 1 c. 2a, JT 1996 I 662) et dont la traduction en langue française a été produite dans le délai imparti à cet effet, est recevable à la forme. L'écriture de la mère de l'enfant datée du 18 juin 2012 portant sur des faits postérieurs à la décision entreprise a été traitée comme une nouvelle requête et transmise à la Justice de paix comme objet de sa compétence.</w:t>
      </w:r>
    </w:p>
    <w:p>
      <w:r>
        <w:t>- 10 -</w:t>
      </w:r>
    </w:p>
    <w:p>
      <w:r>
        <w:rPr>
          <w:b/>
        </w:rPr>
        <w:t>E. 2</w:t>
      </w:r>
    </w:p>
    <w:p>
      <w:r>
        <w:t>a)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Lausanne 2002, nn. 3 et</w:t>
      </w:r>
    </w:p>
    <w:p>
      <w:r>
        <w:rPr>
          <w:b/>
        </w:rPr>
        <w:t>E. 4</w:t>
      </w:r>
    </w:p>
    <w:p>
      <w:r>
        <w:t>a) En définitive, le recours interjeté par A.E.________ doit être rejeté et la décision entreprise confirmée. b) Le présent arrêt peut être rendu sans frais conformément à l’art. 236 al. 2 aTFJC (tarif des frais judiciaires en matière civile du 4 décembre 1984), qui continue à s’appliquer pour toutes les procédures visées par l’art. 174 CDPJ (art. 100 TFJC [tarif des frais judiciaires civils du 28 septembre 2010, RSV 270.11.5]). c) L'intimée n'ayant pas procédé sur les conclusions du recourant, elle n'a pas droit à des dépens de deuxième instance. Par ces motifs, la Chambre des tutelles du Tribunal cantonal, statuant à huis clos, prononce : I. Le recours est rejeté. II. La décision est confirmée. III. L'arrêt est rendu sans frais, ni dépens.</w:t>
      </w:r>
    </w:p>
    <w:p>
      <w:r>
        <w:t>- 17 - IV. L'arrêt est exécutoire. Le président : La greffière : Du L'arrêt qui précède, dont la rédaction a été approuvée à huis clos, est notifié à : - A.E.________, - P.________,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