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150 vom 24. Mai 2012</w:t>
      </w:r>
    </w:p>
    <w:p>
      <w:r>
        <w:t>VD Tribunal cantonal, 2012-05-24, FR</w:t>
      </w:r>
    </w:p>
    <w:p>
      <w:r>
        <w:rPr>
          <w:b/>
        </w:rPr>
        <w:t xml:space="preserve">Quelle: </w:t>
      </w:r>
      <w:r>
        <w:t>https://mcp.opencaselaw.ch/entscheid/vd_gerichte_150</w:t>
      </w:r>
    </w:p>
    <w:p>
      <w:r>
        <w:t>FR: VD_GERICHTE 150 du 24 mai 2012</w:t>
      </w:r>
    </w:p>
    <w:p>
      <w:r>
        <w:t>IT: VD_GERICHTE 150 del 24 maggio 2012</w:t>
      </w:r>
    </w:p>
    <w:p>
      <w:pPr>
        <w:pStyle w:val="Heading2"/>
      </w:pPr>
      <w:r>
        <w:t>Erwägungen</w:t>
      </w:r>
    </w:p>
    <w:p>
      <w:r>
        <w:rPr>
          <w:b/>
        </w:rPr>
        <w:t>E. 1</w:t>
      </w:r>
    </w:p>
    <w:p>
      <w:r>
        <w:t>a) L’appel est dirigé contre la décision de la Justice de paix du district de Morges instituant une mesure de tutelle en faveur de l'appelant, en application de l'art. 369 CC. b) Conformément à l’art. 393 al. 1 CPC-VD (Code de procédure civile vaudois du 14 décembre 1966, RS 270.11), qui reste applicable aux décisions rendues après le 1er janvier 2011 (art. 174 CDPJ [Code de droit privé judiciaire vaudois du 12 janvier 2010, RSV 211.02]), les décisions rendues par la justice de paix en matière d’interdiction peuvent faire l’objet d’un appel au Tribunal cantonal, soit à la Chambre des tutelles (art. 76 al. 2 LOJV [loi vaudoise d’organisation judiciaire du 12 décembre 1979,</w:t>
      </w:r>
    </w:p>
    <w:p>
      <w:r>
        <w:t>- 5 - RSV 173.01]), dans les dix jours dès leur notification. L’appel est ouvert au dénoncé, au dénonçant ainsi qu’au Ministère public. L'appel reporte la cause en son entier, c'est-à-dire en fait et en droit, devant la Chambre des tutelles du Tribunal cantonal qui n’est pas liée par l’appréciation des témoignages et peut procéder ou faire procéder à toutes mesures d’instruction qu’elle juge utiles (art. 393 al. 3 CPC-VD ; Poudret/Haldy/Tappy, Procédure civile vaudoise, 3e éd., Lausanne 2002, note ad art. 393 CPC-VD, p. 599). c) En l'espèce, l'appel a été formé en temps utile par le dénoncé.</w:t>
      </w:r>
    </w:p>
    <w:p>
      <w:r>
        <w:rPr>
          <w:b/>
        </w:rPr>
        <w:t>E. 2</w:t>
      </w:r>
    </w:p>
    <w:p>
      <w:r>
        <w:t>a)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par analogie). Dans le canton de Vaud, la procédure en matière d'interdiction est régie par les art. 379 ss CPC-VD, sous réserve des règles de procédure fédérale définies aux art. 373 à 375 CC. b) Selon l'art. 379 al. 1 CPC-VD,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w:t>
      </w:r>
    </w:p>
    <w:p>
      <w:r>
        <w:t>- 6 -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Selon l'art. 382 CPC-VD, l'enquête terminée, le juge de paix la soumet à la justice de paix qui peut ordonner un complément d'enquête (al. 1). La justice de paix entend le dénoncé, l'art. 380 al. 5 CPC-VD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c) Le 4 mai 2009, l'appelant a quitté Morges pour prendre domicile à Lausanne. La proposition de transfert de for faite le 24 février 2011 par la Justice de paix du district de Morges a été refusée par la Justice de paix du district de Lausanne, motif pris qu’une requête concernant la transformation de la mesure tutélaire était pendante. Compte tenu de ce changement de domicile, il y a lieu d’examiner la question du for tutélaire. A défaut de décision formelle de transmission de la curatelle et d’acceptation par l’autorité requise - seule une proposition de transfert, au demeurant refusée, ayant été formulée -, la compétence de l’autorité tutélaire de l’ancien domicile était en principe donnée pour lever ou modifier la mesure existante (ATF 126 III 415 c. 2b/aa).</w:t>
      </w:r>
    </w:p>
    <w:p>
      <w:r>
        <w:t>- 7 - Autre est la question de savoir si la même autorité était compétente pour ordonner la mesure tutélaire contestée, ce qu’il y a lieu d’examiner d’office. Le Tribunal fédéral a eu l’occasion de préciser qu’en cas de changement de domicile, seule l’autorité du nouveau domicile est compétente pour interdire une personne sous curatelle, peu importe que l’autorité de l’ancien domicile n’ait pas fait application de l’art. 377 al. 2 CC, applicable par analogie, et n’ait donc pas transmis la cause à l’autorité compétente (ATF 126 III 415 précité). En l’occurrence, le pupille a quitté Morges pour Lausanne le 4 mai 2009. Il s’ensuit que seule la Justice de paix du district de Lausanne était compétente pour prononcer l’interdiction civile de l’intéressé. Il faut donc constater d'office la violation d'une règle impérative de compétence, qui entraîne l'annulation de la décision et la transmission de la cause à la Justice de paix du district de Lausanne.</w:t>
      </w:r>
    </w:p>
    <w:p>
      <w:r>
        <w:rPr>
          <w:b/>
        </w:rPr>
        <w:t>E. 3</w:t>
      </w:r>
    </w:p>
    <w:p>
      <w:r>
        <w:t>a) En définitive, l'appel d'T.________ doit être admis et la décision entreprise annulée, la cause étant renvoyée à la Justice de paix du district de Lausanne afin qu'elle examine la situation du prénommé et détermine s'il y a lieu de lever la curatelle volontaire existante et, dans l'affirmative, d'instituer une mesure de tutelle ou de curatelle, le cas échéant à titre provisionnel. b) Le présent arrêt peut être rendu sans frais conformément à l'art. 236 al. 2 aTFJC (tarif des frais judiciaires en matière civile du 4 décembre 1984), qui continue à s'appliquer pour toutes les procédures visées à l'art. 174 CDPJ (art. 100 TFJC [tarif des frais judiciaires civils du 28 septembre 2010, RSV 270.11.5]). c) T.________ a été mis au bénéfice de l'assistance judiciaire par décision du 22 février 2012. La loi vaudoise du 24 novembre 1981 sur l'assistance judiciaire en matière civile (LAJ) a été abrogée dès l'entrée en vigueur du CDPJ (art.</w:t>
      </w:r>
    </w:p>
    <w:p>
      <w:r>
        <w:t>- 8 - 173 CDPJ), soit dès le 1er janvier 2011. Depuis cette date, il faut donc considérer que les questions relatives à l'assistance judiciaire sont, dans les procédures relatives à la protection de l’enfant, à l’interdiction et à la mainlevée de cette mesure, ainsi qu'à la privation de liberté à des fins d'assistance, qui demeurent soumises aux dispositions du CPC-VD, régies par les art. 117 à 123 CPC (Code de procédure civile du 19 décembre 2008, RS 272), applicables à titre supplétif (JT 2011 III 150 ; CTUT 18 juillet 2011/143 c. 2a). Aux termes de l'art. 2 al. 1 RAJ (règlement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A cet égard, le juge apprécie l'étendue des opérations nécessaires pour la conduite du procès. Il applique le tarif horaire de 180 fr. aux avocats. Compte tenu de la liste des opérations produite le 21 mai 2012 par le conseil d'office de l'appelant, Me Didier Kvicinsky, il y a lieu d'admettre un total de quatre heures et quarante-cinq minutes consacrées à l'accomplissement de sa mission. Au tarif horaire de 180 fr., son indemnité doit dès lors être fixée à 855 fr., montant auquel s'ajoutent les débours par 100 fr. et la TVA sur le tout par 76 fr. 40, soit 1'031 fr. 40 au total. Le bénéficiaire de l'assistance judiciaire est, dans la mesure de l'art. 123 CPC, tenu au remboursement de l'indemnité à son conseil d'office mise à la charge de l'Etat.</w:t>
      </w:r>
    </w:p>
    <w:p>
      <w:r>
        <w:t>- 9 - Par ces motifs, la Chambre des tutelles du Tribunal cantonal, statuant à huis clos, prononce : I. L'appel est admis. II. La décision est annulée. III. La cause est transmise à la Justice de paix du district de Lausanne afin qu'elle examine la situation d'T.________ et détermine s'il y a lieu de lever la curatelle volontaire existante et, dans l'affirmative, d'instituer une mesure de tutelle ou de curatelle, le cas échéant à titre provisionnel. IV. L'arrêt est rendu sans frais. V. L'indemnité d'office de Me Didier Kvicinsky, conseil de l'appelant, est arrêtée à 1'031 fr. 40 (mille trente-et-un francs et quarante centimes), TVA et débours compris. VI. Le bénéficiaire de l'assistance judiciaire est, dans la mesure de l'art. 123 CPC, tenu au remboursement de l'indemnité au conseil d'office mise à la charge de l'Etat.</w:t>
      </w:r>
    </w:p>
    <w:p>
      <w:r>
        <w:t>- 10 - VII. L'arrêt motivé est exécutoire. Le président : La greffière : Du 24 mai 2012 Le dispositif de l'arrêt qui précède est communiqué par écrit aux intéressés. La greffière : Du L'arrêt qui précède, dont la rédaction a été approuvée à huis clos, est notifié à : - Me Didier Kvicinsky (pour T.________), - Office du Tuteur général, et communiqué à : - Justice de paix du district de Morges, - Justice de paix du district de Lausanne, par l'envoi de photocopies. Le présent arrêt peut faire l'objet d'un recours en matière civile devant le Tribunal fédéral au sens des art. 72 ss LTF (loi du 17 juin 2005 sur le Tribunal fédéral – RS 173.110), cas échéant d'un recours</w:t>
      </w:r>
    </w:p>
    <w:p>
      <w:r>
        <w:t>- 11 -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