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15 vom 22. August 2024</w:t>
      </w:r>
    </w:p>
    <w:p>
      <w:r>
        <w:t>VD Tribunal cantonal, 2024-08-22, FR</w:t>
      </w:r>
    </w:p>
    <w:p>
      <w:r>
        <w:rPr>
          <w:b/>
        </w:rPr>
        <w:t xml:space="preserve">Quelle: </w:t>
      </w:r>
      <w:r>
        <w:t>https://mcp.opencaselaw.ch/entscheid/vd_gerichte_15</w:t>
      </w:r>
    </w:p>
    <w:p>
      <w:r>
        <w:t>FR: VD_GERICHTE 15 du 22 août 2024</w:t>
      </w:r>
    </w:p>
    <w:p>
      <w:r>
        <w:t>IT: VD_GERICHTE 15 del 22 agosto 2024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En définitive, il doit être constaté que Me P.________ remplit toujours la condition posée par l'art. 8 al. 1 let. b LLCA. Les frais de la cause, consistant en un émolument de 500 fr., seront mis à la charge de Me P.________, dès lors que ses agissements ont justifié l’ouverture de la présente procédure (art. 59 al. 1 LPAv). Par ces motifs, la Chambre des avocats, statuant à huis clos : I. Constate que l'avocat P.________ remplit toujours la condition posée par l'art. 8 al. 1 let. b LLCA. II. Dit que les frais de la cause, par 500 fr. (cinq cents francs), sont mis à la charge de l’avocat P.________. Le président : Le greffier : Du La décision qui précède, lue et approuvée à huis clos, est notifiée à : - Me P.________, La présente décision peut faire l'objet d'un recours au Tribunal cantonal dans un délai de trente jours dès sa notification. Le recours est exercé conformément à la loi sur la procédure administrative (art. 65 LPAv).</w:t>
      </w:r>
    </w:p>
    <w:p>
      <w:r>
        <w:t>- 9 - Cette décision est également communiquée à : - M. le Procureur général du canton de Vaud. Le greffier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