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106 vom 13. Mai 2011</w:t>
      </w:r>
    </w:p>
    <w:p>
      <w:r>
        <w:t>VD Tribunal cantonal, 2011-05-13, FR</w:t>
      </w:r>
    </w:p>
    <w:p>
      <w:r>
        <w:rPr>
          <w:b/>
        </w:rPr>
        <w:t xml:space="preserve">Quelle: </w:t>
      </w:r>
      <w:r>
        <w:t>https://mcp.opencaselaw.ch/entscheid/vd_gerichte_106</w:t>
      </w:r>
    </w:p>
    <w:p>
      <w:r>
        <w:t>FR: VD_GERICHTE 106 du 13 mai 2011</w:t>
      </w:r>
    </w:p>
    <w:p>
      <w:r>
        <w:t>IT: VD_GERICHTE 106 del 13 maggio 2011</w:t>
      </w:r>
    </w:p>
    <w:p>
      <w:pPr>
        <w:pStyle w:val="Heading2"/>
      </w:pPr>
      <w:r>
        <w:t>Erwägungen</w:t>
      </w:r>
    </w:p>
    <w:p>
      <w:r>
        <w:rPr>
          <w:b/>
        </w:rPr>
        <w:t>E. 1</w:t>
      </w:r>
    </w:p>
    <w:p>
      <w:r>
        <w:t>Le recours est dirigé contre une décision de la justice de paix fixant les modalités de l'exercice du droit de visite d'un père sur ses enfants mineurs, sur lesquels il n'a ni la garde ni l'autorité parentale (art. 273 ss CC, Code civil suisse du 10 décembre 1907, RS 210). a) Conformément à la jurisprudence du Tribunal fédéral, la question des relations personnelles avec un enfant mineur constitue une matière non contentieuse (ATF 118 Ia 473 c. 2, JT 1995 I 523). Le Code de procédure civile suisse du 19 décembre 2008 (RS 272, ci-après : CPC), entré en vigueur le 1er janvier 2011, est sans portée sur les décisions prises en matière de protection de l'enfant (art. 307 ss CC) et en fixation des relations personnelles (droit de visite). L'art. 1 let. b CPC prévoit certes que ce code s'applique aux décisions judiciaires de la juridiction gracieuse, laquelle est régie par la procédure sommaire (art. 248 let. e CPC). Toutefois, le CPC s'applique en procédure gracieuse uniquement aux cas où le droit fédéral impose la compétence du juge. Lorsque le droit fédéral permet aux cantons de choisir entre juge et autorité administrative, les cantons gardent toute latitude de régir la procédure comme ils l'entendent. En matière de droit de visite, c'est l'autorité tutélaire qui est compétente (art. 275 CC), celle-ci pouvant - selon le droit fédéral - être judiciaire ou administrative. Il en découle que les cantons conservent la capacité de régir la procédure, même ceux qui ont opté pour l'autorité judiciaire. En outre, selon l'art. 174 al. 2 CDPJ (Code de droit privé judiciaire vaudois du 12 janvier 2010, RSV 211.02), les dispositions du CPC-VD (Code de procédure civile vaudoise du 14 décembre 1966, RSV 270.11) conserveront, jusqu'à l'entrée en vigueur de la loi fédérale du 19 décembre 2008 révisant le Code civil suisse (protection de l'adulte, droit des personnes et droit de la filiation), toute leur portée pour ce qui concerne la protection de l'enfant. Autrement dit, les art. 399 ss CPC-VD continueront à s'appliquer et le recours restera régi par les art. 489 ss CPC-VD. Le droit de visite est souvent traité en relation</w:t>
      </w:r>
    </w:p>
    <w:p>
      <w:r>
        <w:t>- 10 - avec une mesure de protection, soit par exemple le retrait du droit de garde ou l'instauration d'une curatelle de surveillance des relations personnelles. Dans ces cas, la disposition transitoire prévue à l'art. 174 al.</w:t>
      </w:r>
    </w:p>
    <w:p>
      <w:r>
        <w:rPr>
          <w:b/>
        </w:rPr>
        <w:t>E. 2</w:t>
      </w:r>
    </w:p>
    <w:p>
      <w:r>
        <w:t>a) Saisie d'un recours non contentieux, la Chambre des tutelles, qui n'est pas tenue par les moyens et les conclusions des parties, examine d'office si la décision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des enfants, soit la justice de paix dans le canton de Vaud (art. 3 al. 1 LVCC), est compétente pour prendre les mesures nécessaires concernant les relations personnelles (art. 275 al. 1 CC).</w:t>
      </w:r>
    </w:p>
    <w:p>
      <w:r>
        <w:t>- 12 - En l'espèce, les enfants étant domiciliés à Lavey, chez leur mère, seule détentrice de l'autorité parentale et du droit de garde (art. 25 al. 1 CC), la Justice de paix du district d'Aigle était compétente pour prendre la décision entreprise. Les parents ont été entendus à l'audience de la justice de paix du 10 février 2011, de sorte que leur droit d'être entendus a été respecté. Les enfants, nés le 11 février 2008, étaient trop jeunes pour être entendus (ATF 131 III 553, JT 2006 I 83). La décision entreprise est ainsi formellement correcte et il convient d’examiner si elle est justifiée sur le fond.</w:t>
      </w:r>
    </w:p>
    <w:p>
      <w:r>
        <w:rPr>
          <w:b/>
        </w:rPr>
        <w:t>E. 3</w:t>
      </w:r>
    </w:p>
    <w:p>
      <w:r>
        <w:t>La recourante critique le droit de visite accordé à l'intimé, soit un samedi ou un dimanche alternativement chaque fin de semaine, de 10h00 à 18h00, à charge pour le père d'aller chercher ses fils chez leur mère et de les y ramener. Elle fait valoir que l'intimé a interrompu sa cure de désintoxication aux Rives du Rhône en juin 2010 contre l'accord du foyer et qu'après quelques mois, il a également abandonné toutes les démarches entreprises à sa sortie, soit son apprentissage, sa thérapie de couple et son suivi auprès d'Azimut. La recourante expose qu'à plusieurs reprises, l'intimé s'est trouvé sous le coup de stupéfiants et d'alcool lorsqu'il est venu exercer son droit de visite. Elle soutient en outre que l'intimé n'a vu ses fils que de façon épisodique, qu'il ne sait pas s'occuper d'enfants en bas âge en raison de son manque d'expérience, qu'il est impatient, qu'il supporte mal les débordements de ses jeunes enfants, qu'il a secoué l'un d'eux lorsque celui-ci avait tapé son frère et qu'elle a dû à plusieurs reprises s'interposer entre l'intimé et ses enfants, outre les violences dont elle a elle-même fait l'objet. Elle estime dès lors que le droit de visite sans surveillance qui lui a été accordé pourrait compromettre le bien des enfants.</w:t>
      </w:r>
    </w:p>
    <w:p>
      <w:r>
        <w:t>- 13 - L'intimé relève avoir vécu du 30 juin 2008 au 31 mai 2010 dans l'institution des Rives du Rhône. Il explique avoir débuté un apprentissage de menuisier, interrompu en décembre 2010 car il avait de la peine à trouver sa place dans le monde du travail. Dans ses déterminations du 17 mars 2011, il a indiqué qu'il allait débuter en avril 2011 un apprentissage d'agent d'exploitation. Le 14 avril suivant, il a toutefois produit un contrat de stage de menuisier conclu le 11 avril 2011 par l'intermédiaire de l'OSEO Vaud pour la période d'avril à juin 2010, stage qui doit se poursuivre par un apprentissage de menuisier, selon contrat signé le même jour pour la période du 1er juillet 2011 au 30 juin 2015. L'intimé admet s'être emporté à trois reprises contre son ancienne compagne sans pour autant lui avoir porté de coups, et conteste avoir pour le surplus usé de violence. Il soutient s'être occupé seul de ses enfants durant la période où il vivait avec eux et être totalement abstinent de produits stupéfiants.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w:t>
      </w:r>
    </w:p>
    <w:p>
      <w:r>
        <w:t>- 14 -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TF 5P.131/2006 du 25 août 2006, publié in FamPra 2007 p. 167; ATF 131 III 209, JT 2005 I 2002; ATF 118 II 21 c. 3c, JT 1995 I 548).</w:t>
      </w:r>
    </w:p>
    <w:p>
      <w:r>
        <w:t>- 15 - Les conflits entre les parents ne constituent pas un motif de restreindre le droit de visite. Une telle limitation n’est justifiée que s’il y a lieu d’admettre, au regard des circonstances, que l’octroi d’un droit de visite usuel compromet le bien de l’enfant (ATF 131 III 209 c. 5).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précité; Hegnauer, Droit suisse de la filiation,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 2008 p. 173). L'appréciation des circonstances de fait pour fixer le droit aux relations personnelles de l'art. 273 al. 1 CC, c'est-à-dire la détermination de leur portée juridique, est une question de droit. Le juge du fait dispose d'un pouvoir d'appréciation en vertu de l'art. 4 CC (TF 5A_49/2008 du 19 août 2008 c. 3.3). b) En l'espèce, il ressort du dossier que l'intimé a eu des problèmes de drogue dès lors qu'il a effectué une cure de désintoxication</w:t>
      </w:r>
    </w:p>
    <w:p>
      <w:r>
        <w:t>- 16 - de deux ans auprès de l'institution des Rives du Rhône. L'intimé soutient qu'il est totalement abstinent depuis lors. Il n'a toutefois produit aucun document attestant qu'il ne consommerait plus de stupéfiants, bien qu'il ait annoncé, dans ses écritures, qu'il allait se soumettre à des analyses de sang. Il n'est dès lors pas formellement établi que l'intimé respecte une stricte abstinence à tous produits stupéfiants. La recourante allègue en outre des problèmes d'alcool qu'aucune analyse ne vient contredire. Lors de son audition le 10 février 2011, l'intimé a lui-même reconnu "boire de temps en temps". La recourante reproche à l'intimé un comportement violent. Elle fait notamment valoir qu'à une reprise, celui-ci a secoué l'un de ses fils pour le punir d'avoir frappé son frère. Par courrier du 29 avril 2011, la recourante a relevé que, lors d'un droit de visite exercé chez elle, le père a serré fortement la main de l'un de ses fils, également au motif qu'il avait tapé son frère. Elle a produit un certificat médical attestant que cette manipulation avait provoqué une diminution de la mobilité en extension du pouce droit et une contusion nécessitant la pose d'une attelle pour 48 heures. Dans ses déterminations, l'intimé a admis s'être emporté à trois reprises contre son ancienne compagne sans pour autant lui avoir porté de coups, et conteste avoir pour le surplus usé de violence. Lors de son audition du 10 février 2011, l'intimé a toutefois reconnu avoir été violent "par moments". A relever au surplus, même si cela n'a pas d'incidence directe sur les compétences parentales, qu'il résulte du dossier que l'intimé a de la peine à trouver une certaine stabilité. En effet, à sa sortie de cure, il a débuté un apprentissage de menuisier qu'il a interrompu à la fin de l'année 2010 au motif que ce métier ne lui convenait pas. Dans ses déterminations du 17 mars 2011, il a indiqué qu'il allait débuter en avril 2011 un apprentissage d'agent d'exploitation. Le 14 avril suivant, il a toutefois produit un contrat de stage de menuisier conclu le 11 avril 2011 pour la période d'avril à juin 2010 et un contrat d'apprentissage de menuisier auprès de la même entreprise, signé le même jour, pour la période du 1er juillet 2011 au 30 juin 2015. Il résulte de ces divers</w:t>
      </w:r>
    </w:p>
    <w:p>
      <w:r>
        <w:t>- 17 - éléments que l'intimé peine à trouver une voie et une stabilité professionnelles. Au regard de l'ensemble des éléments précités, de la situation particulièrement conflictuelle entre les parents, du très jeune âge des enfants et du fait que l'intimé n'a que peu d'expérience en matière parentale, l'intérêt des enfants commande que les relations personnelles s'exercent par le biais d'un droit de visite surveillé. Les modalités préconisées par le SPJ sont au demeurant adéquates. En effet, compte tenu de la grossesse de la recourante et de son récent accident qui réduisent sa mobilité, il convient de privilégier le Service Trait d'Union de la Croix-Rouge, la surveillance qu'il exerce étant au demeurant suffisante pour préserver les intérêts des enfants. Vu la situation des parents, il y a lieu de laisser au SPJ le soin de fixer les modalités particulières de cet exercice.</w:t>
      </w:r>
    </w:p>
    <w:p>
      <w:r>
        <w:rPr>
          <w:b/>
        </w:rPr>
        <w:t>E. 4</w:t>
      </w:r>
    </w:p>
    <w:p>
      <w:r>
        <w:t>En définitive, le recours doit être admis et le chiffre I de la décision contestée réformé en ce sens que le droit de visite de l'intimé sur ses enfants B.B.________ et C.B.________ s'exercera sous surveillance par le biais du Service Trait d'union de la Croix-Rouge vaudoise et selon des modalités qui seront fixées par le Service de protection de la jeunesse.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en matière civile, RSV 270.11.5). La recourante a été mise au bénéfice de l'assistance judiciaire par décision du 16 mars 2010. Son conseil invoque avoir consacré 9 heures 5 minutes à son mandat, ses débours s'élevant à 83 fr. 50, selon son relevé d'opérations produit le 9 mai 2011. Une indemnité correspondant à 8 heures de travail d'avocat, au tarif horaire de 180 francs hors TVA (art. 2 al. 1 RAJ, Règlement sur l'assistance judiciaire en</w:t>
      </w:r>
    </w:p>
    <w:p>
      <w:r>
        <w:t>- 18 - matière civile, RSV 211.02.3), apparaît suffisante au regard des difficultés de la cause, telles qu'elles se présentaient en fait et en droit. Il convient en outre d'allouer le montant requis de 83 fr. 50, TVA en sus, à titre de débours (art. 3 RAJ). L'indemnité d'office due au conseil du recourant pour la procédure de recours doit ainsi être arrêtée à 1'645 fr., débours et TVA comprise. La requête d'assistance judicaire de l'intimé a été admise par décision du 28 avril 2011. Il résulte du relevé des opérations produit le 9 mai 2011 que son conseil a consacré environ 3 heures à son recours, temps raisonnable et admissible, et que ses débours s'élèvent à 166 francs. C'est ainsi un montant de 762 francs 50 qui doit être alloué au conseil d'office de l'intimé pour la procédure de recours, débours et TVA comprise. Le bénéficiaire de l'assistance judiciaire est, dans la mesure de l'art. 123 CPC, tenu au remboursement des frais judiciaires et de l'indemnité au conseil d'office mis à la charge de l'Etat. La recourante obtenant gain de cause (art. 91 et 92 CPC-VD), l'intimé doit lui verser des dépens qu'il convient d'arrêter à 1'200 francs. Par ces motifs, la Chambre des tutelles du Tribunal cantonal, statuant à huis clos, prononce : I. Le recours est admis. II. La décision est réformée comme il suit au chiffre I de son dispositif : I. de dire que le droit de visite de N.________ sur ses enfants B.B.________ et C.B.________, nés le 11 décembre 2008,</w:t>
      </w:r>
    </w:p>
    <w:p>
      <w:r>
        <w:t>- 19 - domiciliés chez leur mère A.B.________, à [...], s'exercera sous surveillance par le biais du Service Trait d'union de la Croix- Rouge vaudoise et selon des modalités qui seront fixées par le Service de protection de la jeunesse. La décision est confirmée pour le surplus. III. L'arrêt est rendu sans frais. IV. L'indemnité d'office de Me Marie-Pomme Moinat, conseil de la recourante, est arrêtée à 1'645 fr. (mille six cent quarante-cinq francs) et celle de Me Blaise Marmy, conseil de l'intimé, à 762 fr. 50 (sept cent soixante-deux francs et cinquante centimes). V. Le bénéficiaire de l'assistance judiciaire est, dans la mesure de l'art. 123 CPC, tenu au remboursement de l'indemnité de son conseil d'office mis à la charge de l'Etat. VI. L'intimé N.________ doit verser à la recourante A.B.________ la somme de 1'200 fr. (mille deux cents francs) à titre de dépens de deuxième instance. VII. L'arrêt motivé est exécutoire. Le président : La greffière : Du 13 mai 2011 Le dispositif de l'arrêt qui précède est communiqué par écrit aux intéressés. La greffière :</w:t>
      </w:r>
    </w:p>
    <w:p>
      <w:r>
        <w:t>- 20 - Du L'arrêt qui précède, dont la rédaction a été approuvée à huis clos, est notifié à : - Me Marie-Pomme Moinat (pour A.B.________), - Me Blaise Marmy (pour N.________), et communiqué à : - Service de protection de la jeunesse,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