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rapport vom 13. September 2012</w:t>
      </w:r>
    </w:p>
    <w:p>
      <w:r>
        <w:t>VD Tribunal cantonal, 2012-09-13, FR</w:t>
      </w:r>
    </w:p>
    <w:p>
      <w:r>
        <w:rPr>
          <w:b/>
        </w:rPr>
        <w:t xml:space="preserve">Quelle: </w:t>
      </w:r>
      <w:r>
        <w:t>https://mcp.opencaselaw.ch/entscheid/vd_findinfo_rapport</w:t>
      </w:r>
    </w:p>
    <w:p>
      <w:r>
        <w:t>FR: VD_FINDINFO rapport du 13 septembre 2012</w:t>
      </w:r>
    </w:p>
    <w:p>
      <w:r>
        <w:t>IT: VD_FINDINFO rapport del 13 settembre 2012</w:t>
      </w:r>
    </w:p>
    <w:p>
      <w:pPr>
        <w:pStyle w:val="Heading2"/>
      </w:pPr>
      <w:r>
        <w:t>Regeste</w:t>
      </w:r>
    </w:p>
    <w:p>
      <w:r>
        <w:t>JUGEMENT DE DIVORCE, MODIFICATION DES CIRCONSTANCES, OBLIGATION D'ENTRETIEN, CONJOINT | 153 al. 2 CC</w:t>
      </w:r>
    </w:p>
    <w:p>
      <w:pPr>
        <w:pStyle w:val="Heading2"/>
      </w:pPr>
      <w:r>
        <w:t>Erwägungen</w:t>
      </w:r>
    </w:p>
    <w:p>
      <w:r>
        <w:rPr>
          <w:b/>
        </w:rPr>
        <w:t>E. 4</w:t>
      </w:r>
    </w:p>
    <w:p>
      <w:r>
        <w:t>La demi-rente d'invalidité que perçoit P.________ s'élève actuellement à 900 francs. S'y ajoute une rente du deuxième pilier de 323 francs. Par le passé, le demandeur a perçu des indemnités journalières pour cause de maladie. Le demandeur fait toujours ménage commun avec son amie. La part de loyer à sa charge est de 560 fr. 50. Sa prime d'assurance-maladie se monte à 470 fr. et il chiffre ses frais de transport à 66 francs. Compte tenu de la base mensuelle de 850 fr., son minimum vital est de 1'946 fr. 50. Le demandeur n'exerce plus son activité d'installateur sanitaire depuis 2006 et n'a fait aucune recherche d'emploi depuis lors. Son état de santé s'est détérioré depuis l'ouverture d'action, en 2005.</w:t>
      </w:r>
    </w:p>
    <w:p>
      <w:r>
        <w:rPr>
          <w:b/>
        </w:rPr>
        <w:t>E. 5</w:t>
      </w:r>
    </w:p>
    <w:p>
      <w:r>
        <w:t>R.________ perçoit environ 3'000 fr. par mois durant la saison d'hiver. En été, elle vit sur un alpage; elle gagne moins d'argent, mais bénéficie d'avantages en nature. Elle assume un loyer mensuel de 1'070 francs. Son assurance-maladie, partiellement subsidiée, grève son budget de 200 fr. par mois.</w:t>
      </w:r>
    </w:p>
    <w:p>
      <w:r>
        <w:rPr>
          <w:b/>
        </w:rPr>
        <w:t>E. 6</w:t>
      </w:r>
    </w:p>
    <w:p>
      <w:r>
        <w:t>Par demande du 27 mai 2005, P.________ a ouvert action en modification du jugement de divorce, concluant, avec suite de frais et dépens, à ce qu'il ne doive aucune rente mensuelle de quelque nature que ce soit à R.________, ceci dès le dépôt de la procédure. Dans sa réponse du 29 juin 2005, R.________ a conclu, avec suite de frais et dépens, au rejet des conclusions de la demande. Par ordonnance de mesures provisionnelles rendue le 8 août 2005, le Président du Tribunal civil de l'arrondissement de l'Est vaudois a dit que le versement de la rente mensuelle due par P.________ à son ex-épouse était suspendu dès le 1 er juin 2005 et jusqu'à droit connu sur le fond. L'audience de jugement a eu lieu le 24 septembre 2008. D'entente entre les parties, elle a été suspendue jusqu'à ce que le demandeur soit en mesure de fournir une décision définitive relative à sa rente d'assurance-invalidité. L'audience a été reprise le 16 février 2012. En droit : 1. a) Le jugement attaqué a été communiqué aux parties le 26 avril 2012, de sorte que les voies de droit sont régies par le CPC (Code de procédure civile suisse du 19 décembre 2008; RS 272), entré en vigueur le 1 er janvier 2011 (art. 405 CPC; ATF 137 III 127; ATF 137 III 130 ; Tappy, CPC commenté, Bâle 2011, nn. 5 et ss ad art. 405 CPC). b) 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seule est litigieuse la question de la suppression de la contribution d'entretien due par l'appelant à l'intimée. Il s'agit dès lors d'une cause patrimoniale. Capitalisée conformément à l'art. 92 al. 2 CPC, la valeur litigieuse est supérieure à 10'000 francs, de sorte que la voie de l'appel est ouverte. Formé en temps utile (art. 311 al. 1 CPC) par une partie qui y a intérêt (art. 59 al. 2 let. a CPC) et comportant des conclusions qui ne sont pas nouvelles (art. 317 al. 2 CPC), l'appel est recevable à la forme. c) Selon l'art. 7a al. 3 du Titre final du Code civil, la modification d'un jugement de divorce rendu sous l'ancien droit est régie par l'ancien droit, sous réserve des dispositions relatives aux enfants et à la procédure (JT 2000 I 66, spéc. p. 74). Dans la mesure où l'objet du litige porte sur la contribution d'entretien en faveur de l'ex-épouse, le droit contrôlé sera donc l'ancien droit, soit en particulier les dispositions du Code civil en vigueur jusqu'au 31 décembre 1999. 2. 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in JT 2010 III 115, p. 138). Il appartient à l'appelant de démontrer que ces conditions sont réalisées, de sorte que l'appel doit indiquer spécialement de tels faits et preuves nouveaux et motiver spécialement les raisons qui les rendent admissibles selon lui (ibidem, pp. 136-147). En l'espèce, l'appelant a sollicité la production, en main de la Banque [...], succursale de Vevey, des extraits de tous les comptes bancaires concernant l'intimée, sans démontrer que les conditions de l'art. 317 al. 1 CPC étaient réunies. Dans la mesure où l'appelant aurait pu requérir la production de ces pièces en première instance mais qu'il ne l'a pas fait, sa requête doit être rejetée. 3. a) L'appelant soutient que sa situation financière s'est détériorée au point qu'il n'est plus en mesure de contribuer à l'entretien de son ex-épouse. Selon lui, c'est à tort que les premiers juges ont retenu que cette situation était imputable à sa mauvaise volonté. Il fait valoir qu'il est atteint de graves problèmes de santé qui ont justifié l'allocation en sa faveur, par l'assurance-invalidité, d'une rente entière d'invalidité durant une année et demie au début des années 2000, puis d'une demi-rente dès le 1 er janvier 2003. A son âge, au vu de ses problèmes de santé, il lui est impossible de reprendre un emploi dans son domaine, celui de l'installation sanitaire. Il relève par ailleurs que l'intimée réalise un revenu qui couvre entièrement ses charges. b) Les indemnités et pensions fixées selon les art. 151 et 152 aCC ne peuvent être modifiées que conformément aux dispositions de l'ancien droit, en particulier de l'art. 153 aCC. Aux termes de l'art. 153 al. 2 aCC, la pension alimentaire allouée à titre de secours sera supprimée ou réduite, à la demande du débiteur, si l'ayant droit n'est plus dans le dénuement ou si la gêne dans laquelle il se trouvait a sensiblement diminué. La réduction ou la suppression présuppose toutefois une modification importante, à vues humaines durable et non prévisible au moment du divorce (ATF 118 II 229 c. 3a, JT 1995 I 37; ATF 117 II 211 c. 5a, JT 1994 I 265; ATF 117 II 359 c. 3 in fine, JT 1994 I 322). Pour décider si ces conditions sont remplies, il faut déterminer dans quelle mesure les capacités financières et les besoins respectifs des parties ont évolué depuis le divorce. Selon la jurisprudence, lorsque le débiteur diminue volontairement son revenu, quel que soit le motif de sa décision, il doit en principe supporter les conséquences de sa décision (ATF 121 III 297 c. 3b; ATF 105 II 166 c. 2, JT 1980 I 536). Si la détérioration de la situation du débiteur de la pension est due à sa mauvaise volonté ou à sa négligence grossière, ou si elle est imputable à une décision arbitraire, elle ne saurait en règle générale justifier une réduction de la pension, en tout cas pas lorsque le débiteur a la possibilité de se recréer une situation plus favorable (ATF 108 II 30; Bühler/Spühler, Berner Kommentar, n. 70 ad art. 153 aCC et les réf. citées, notamment ATF 79 II 139). Dans la fixation des contributions d'entretien, le juge peut donc tenir compte des gains antérieurs et imputer au débiteur un revenu hypothétique (ATF 119 II 314 c. 4a, JT 1996 I 197). Toutefois, la prise en considération d'un revenu hypothétique supérieur au revenu que le débirentier obtient effectivement n'est admissible que dans la mesure où celui-ci pourrait gagner plus que son revenu effectif, en faisant preuve de bonne volonté et en accomplissant un effort que l'on peut raisonnablement exiger de lui. Lorsque la possibilité réelle d'obtenir un revenu supérieur n'existe pas, il faut en faire abstraction. La raison pour laquelle l'époux a renoncé au revenu supérieur est en principe sans importance. La prise en compte d'un revenu hypothétique ne revêt pas un caractère pénal. Il s'agit simplement d'inciter le débiteur à réaliser le revenu qu'il est en mesure de se procurer et dont on peut raisonnablement exiger de lui qu'il l'obtienne afin de remplir ses obligations. La jurisprudence a laissé indécise la question de l'opportunité de subordonner la fixation d'un revenu hypothétique aux conditions susmentionnées lorsque le débiteur a agi dans l'intention délibérée de nuire. Les critères permettant de déterminer le montant du revenu hypothétique sont en particulier la qualification professionnelle, l'âge, l'état de santé et la situation du marché du travail (ATF 128 III 4 c. 4a et les réf. citées, JT 2002 I 294; sur le tout, TF 5C.199/2003 du 11 novembre 2003 c. 2). c) En l'espèce, la situation financière de l'appelant s'est passablement détériorée depuis le jugement de divorce rendu le 25 mai 1981. Dès le début des années 2000, l'appelant a rencontré des problèmes de santé qui ont justifié l'allocation en sa faveur d'une rente entière de l'assurance-invalidité durant une année et demie, soit du 1 er juin 2001 au 31 décembre 2002, puis d'une demi-rente à compter du 1 er janvier 2003, le taux d'invalidité retenu étant de 55 %. A l'époque du dépôt de la demande de modification du jugement de divorce, le 27 mai 2005, l'appelant était âgé de près de 53 ans et sa capacité de travail dans son domaine d'activité, l'installation sanitaire, était nulle (arrêt de la Cour des assurances sociales du 7 juillet 2011). A tout le moins à partir de ce moment-là, le revenu perçu par l'appelant s'est élevé à quelque 1'200 fr. par mois et n'a plus suffi à combler son minimum vital, qui a été évalué à 1'946 fr. 50. Ces circonstances ne se sont pas améliorées par la suite. Les premiers juges ont considéré que l'appelant était responsable de la détérioration de sa situation financière. Cette opinion n'est toutefois pas convaincante. Ce n'est pas parce que l'appelant a montré qu'il rechignait à payer la pension à son épouse en accumulant des arriérés et en déposant une première demande de modification du jugement de divorce, en 1991, tendant à supprimer cette pension, qu'il faut en déduire que sa situation financière déficitaire est imputable à son attitude. Bien plutôt, il ressort du dossier que c'est avant tout en raison des problèmes de santé, survenus à un âge où les perspectives de reconversion professionnelle sont compromises, que l'appelant s'est retrouvé dans une situation financière précaire. Bien que l'assurance-invalidité ait considéré que l'appelant était en mesure de travailler à temps partiel dans une activité adaptée, il n'y a pas lieu de lui imputer un revenu hypothétique, le juge civil n'étant pas lié par l'instruction menée par les autorités administratives (cf. notamment TF 5A_248/2011 du 14 novembre 2011 c. 4). Vu l'âge et l'état de santé de l'appelant, et compte tenu du fait qu'il n'est plus en mesure de travailler dans son ancienne activité, la réalisation d'un revenu ne peut pas être raisonnablement exigée de lui, comme l'admettent du reste les premiers juges. Dès lors que ses revenus ont baissé au point qu'il n'est plus même en mesure de couvrir son minimum vital, l'appelant ne saurait être astreint à continuer de payer une rente mensuelle à son ex-épouse. Dans ces circonstances, sa demande de modification du jugement de divorce tendant à supprimer cette pension aurait dû être admise. Les moyens de l'appelant sont dès lors bien fondés. 4. Au vu de ce qui précède, l'appel doit être admis et la décision entreprise réformée. La demande de modification du jugement de divorce rendu le 25 mai 1981 par le Tribunal de district de Vevey doit être admise, et ce jugement modifié en ce sens que P.________ ne doit aucune rente mensuelle de quelque nature que ce soit à R.________ à partir du 1 er juin 2005. Obtenant gain de cause, l'appelant a droit à des pleins dépens de première instance, qu'il convient d'arrêter à 6'700 fr. comprenant une indemnité de 6'000 fr. pour les honoraires et débours de son conseil et 700 fr. en remboursement de ses frais de justice. 5. Les frais judiciaires de deuxième instance, arrêtés à 600 fr. (art. 63 al. 1 TFJC [tarif des frais judiciaires civils du 28 septembre 2010; RSV 270.11.5]), seront laissés à la charge de l'Etat (art. 122 al. 1 let. b CPC). L'intimée ayant succombé, des dépens de deuxième instance, arrêtés à 1'000 fr., seront mis à sa charge en faveur de l'appelant (art. 122 al. 1 let. d CPC). Pour le cas où ces dépens ne pourraient pas être recouvrés, l'indemnité d'office de Me Philippe Nicollier, conseil de l'appelant, sera arrêtée à 788 fr. 40, TVA comprise, pour la procédure de deuxième instance, montant correspondant à 3,5 heures de travail rémunérées au tarif horaire de 180 fr., auquel s'ajoute un montant de 108 fr. TVA comprise à titre de remboursement forfaitaire des débours (cf. art. 3 al. 3 RAJ [règlement sur l'assistance judiciaire du 7 décembre 2010; RSV 211.02.3]). Le conseil d'office de l'intimée, Me Eduardo Redondo, a produit sa liste des opérations, dont il ressort qu'il a consacré 3,5 heures à la procédure d'appel, ce qui paraît adéquat au vu de la nature et des difficultés de la cause. L'indemnité d'office de Me Redondo sera donc arrêtée à 702 fr. TVA comprise; ce montant comprend le remboursement effectif des débours, par 21 fr. 60 TVA comprise.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