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TARB 2/06 - 1/2011 vom 4. Mai 2011</w:t>
      </w:r>
    </w:p>
    <w:p>
      <w:r>
        <w:t>VD Tribunal cantonal, 2011-05-04, FR</w:t>
      </w:r>
    </w:p>
    <w:p>
      <w:r>
        <w:rPr>
          <w:b/>
        </w:rPr>
        <w:t xml:space="preserve">Quelle: </w:t>
      </w:r>
      <w:r>
        <w:t>https://mcp.opencaselaw.ch/entscheid/vd_findinfo_TARB_2_06_-_1_2011</w:t>
      </w:r>
    </w:p>
    <w:p>
      <w:r>
        <w:t>FR: VD_FINDINFO TARB 2/06 - 1/2011 du 4 mai 2011</w:t>
      </w:r>
    </w:p>
    <w:p>
      <w:r>
        <w:t>IT: VD_FINDINFO TARB 2/06 - 1/2011 del 4 maggio 2011</w:t>
      </w:r>
    </w:p>
    <w:p>
      <w:pPr>
        <w:pStyle w:val="Heading2"/>
      </w:pPr>
      <w:r>
        <w:t>Regeste</w:t>
      </w:r>
    </w:p>
    <w:p>
      <w:r>
        <w:t>RADIATION DU RÔLE | 109 al. 1 LPA-VD, 109 al. 2 LPA-VD, 116 LPA-VD, 94 al. 1 let. c LPA-VD</w:t>
      </w:r>
    </w:p>
    <w:p>
      <w:pPr>
        <w:pStyle w:val="Heading2"/>
      </w:pPr>
      <w:r>
        <w:t>Volltext</w:t>
      </w:r>
    </w:p>
    <w:p>
      <w:r>
        <w:t>Vaud Tribunal cantonal Cour des assurances sociales 04.05.2011 TARB 2/06 - 1/2011</w:t>
      </w:r>
    </w:p>
    <w:p>
      <w:r>
        <w:t>RADIATION DU RÔLE | 109 al. 1 LPA-VD, 109 al. 2 LPA-VD, 116 LPA-VD, 94 al. 1 let. c LPA-VD</w:t>
      </w:r>
    </w:p>
    <w:p>
      <w:r>
        <w:t>TRIBUNAL CANTONAL TARB 2/06 - 1/2011 TRIBUNAL ARBITRAL DES ASSURANCES _____________________________________________ Décision du 4 mai 2011 __________________ Présidence de               M. Jomini , président Greffier : M.              Germond ***** Cause pendante entre : Q.________ , à Lausanne, requérante, représentée par Me Baptiste Rusconi, avocat à Lausanne, et F.________ , à Soleure, intimée, représentée par Me Luke Gillon, avocat à Fribourg. _______________ Art. 113 ss LPA-VD Vu la requête déposée le 15 juin 2006 par la Q.________, tendant à la constitution du Tribunal arbitral pour statuer dans une contestation divisant la requérante d'avec F.________; attendu que les parties ont comparu aux audiences présidentielles du 2 mai et du 3 juillet 2007; que l'intimée a conclu à l'irrecevabilité de la requête (selon mémoire incident du 31 août 2007); que les parties ont conclu une convention de suspension de cause, dont il a été pris acte le 27 août 2008; qu'interpellées à plusieurs occasions, les parties ont indiqué que les conditions d'une reprise de la procédure n'étaient pas réunies; que, par une écriture commune du 28 avril 2011, les parties ont informé le président du Tribunal arbitral de l'issue transactionnelle du litige, chaque partie gardant ses frais d'avocat et les frais du tribunal étant partagés entre elles; que les parties requièrent en conséquence la radiation de la cause du rôle; considérant qu'il y a lieu, vu la transaction, de rayer la cause du rôle; que les frais de la procédure judiciaire doivent être arrêtés sur la base du tarif des frais judiciaires civils, compte tenu de la valeur litigieuse – 23'946'000 fr. avec intérêt à 5% dès le 16 juin 2005 (cf. conclusions II de la requête) – et en fonction des opérations effectuées par le président et le greffe (art. 109 al. 2 LPA-VD applicable par renvoi de l'art. 116 LPA-VD); qu'ils doivent être répartis à parts égales entre la requérante et l'intimée; qu'il n'y a pas lieu d'allouer des dépens. Par ces motifs, le Président prononce : I. La cause est rayée du rôle. II. Les frais de justice sont arrêtés à 7'500 fr. (sept mille cinq cents francs) pour la requérante Q.________, et à 7'500 fr. (sept mille cinq cents francs) pour l'intimée F.________. III. Il n'est pas alloué de dépens. Le président : Le greffier : Du La décision qui précède est notifiée à : ‑ Me Baptiste Rusconi (pour Q.________); ‑ Me Luke Gillon (pour F.________);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