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Séquestre / 2020 / 16 vom 3. November 2020</w:t>
      </w:r>
    </w:p>
    <w:p>
      <w:r>
        <w:t>VD Tribunal cantonal, 2020-11-03, FR</w:t>
      </w:r>
    </w:p>
    <w:p>
      <w:r>
        <w:rPr>
          <w:b/>
        </w:rPr>
        <w:t xml:space="preserve">Quelle: </w:t>
      </w:r>
      <w:r>
        <w:t>https://mcp.opencaselaw.ch/entscheid/vd_findinfo_S_questre___2020___16</w:t>
      </w:r>
    </w:p>
    <w:p>
      <w:r>
        <w:t>FR: VD_FINDINFO Séquestre / 2020 / 16 du 3 novembre 2020</w:t>
      </w:r>
    </w:p>
    <w:p>
      <w:r>
        <w:t>IT: VD_FINDINFO Séquestre / 2020 / 16 del 3 novembre 2020</w:t>
      </w:r>
    </w:p>
    <w:p>
      <w:pPr>
        <w:pStyle w:val="Heading2"/>
      </w:pPr>
      <w:r>
        <w:t>Regeste</w:t>
      </w:r>
    </w:p>
    <w:p>
      <w:r>
        <w:t>SÉQUESTRE{LP}, CRÉANCE, PREUVE FACILITÉE, CESSION DE CRÉANCE{CO}, DROIT ÉTRANGER | 2 CC, 3 CC, 16 LDIP, 271 al. 1 ch. 4 LP, 272 al. 1 ch. 1 LP, 1188 CC-Français, 1321 CC-Français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TDC [Tarif des dépens en matière civile; BLV 270.11.3]).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