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Séquestre / 2019 / 3 vom 1. Mai 2019</w:t>
      </w:r>
    </w:p>
    <w:p>
      <w:r>
        <w:t>VD Tribunal cantonal, 2019-05-01, FR</w:t>
      </w:r>
    </w:p>
    <w:p>
      <w:r>
        <w:rPr>
          <w:b/>
        </w:rPr>
        <w:t xml:space="preserve">Quelle: </w:t>
      </w:r>
      <w:r>
        <w:t>https://mcp.opencaselaw.ch/entscheid/vd_findinfo_S_questre___2019___3</w:t>
      </w:r>
    </w:p>
    <w:p>
      <w:r>
        <w:t>FR: VD_FINDINFO Séquestre / 2019 / 3 du 1 mai 2019</w:t>
      </w:r>
    </w:p>
    <w:p>
      <w:r>
        <w:t>IT: VD_FINDINFO Séquestre / 2019 / 3 del 1 maggio 2019</w:t>
      </w:r>
    </w:p>
    <w:p>
      <w:pPr>
        <w:pStyle w:val="Heading2"/>
      </w:pPr>
      <w:r>
        <w:t>Regeste</w:t>
      </w:r>
    </w:p>
    <w:p>
      <w:r>
        <w:t>SÉQUESTRE{LP}, NOUVEAU MOYEN DE PREUVE, SÉQUESTRE CONCERNANT UN DÉBITEUR DOMICILIÉ À L'ÉTRANGER, PREUVE FACILITÉE, CRÉANCE | 271 al. 1 ch. 4 LP, 272 al. 1 ch. 1 LP, 278 al. 3 LP, 327 CPC (CH)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al. 2 et 8 TDC [tarif du 23 novembre 2010 des dépens en matière civile ; BLV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