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3 vom 26. April 2018</w:t>
      </w:r>
    </w:p>
    <w:p>
      <w:r>
        <w:t>VD Tribunal cantonal, 2018-04-26, FR</w:t>
      </w:r>
    </w:p>
    <w:p>
      <w:r>
        <w:rPr>
          <w:b/>
        </w:rPr>
        <w:t xml:space="preserve">Quelle: </w:t>
      </w:r>
      <w:r>
        <w:t>https://mcp.opencaselaw.ch/entscheid/vd_findinfo_S_questre___2018___3</w:t>
      </w:r>
    </w:p>
    <w:p>
      <w:r>
        <w:t>FR: VD_FINDINFO Séquestre / 2018 / 3 du 26 avril 2018</w:t>
      </w:r>
    </w:p>
    <w:p>
      <w:r>
        <w:t>IT: VD_FINDINFO Séquestre / 2018 / 3 del 26 aprile 2018</w:t>
      </w:r>
    </w:p>
    <w:p>
      <w:pPr>
        <w:pStyle w:val="Heading2"/>
      </w:pPr>
      <w:r>
        <w:t>Regeste</w:t>
      </w:r>
    </w:p>
    <w:p>
      <w:r>
        <w:t>ACTE DE RECOURS, MOTIVATION DE LA DEMANDE, CONDITION DE RECEVABILITÉ, DÉCISION D'IRRECEVABILITÉ | 321 al. 1 CPC (CH)</w:t>
      </w:r>
    </w:p>
    <w:p>
      <w:pPr>
        <w:pStyle w:val="Heading2"/>
      </w:pPr>
      <w:r>
        <w:t>Volltext</w:t>
      </w:r>
    </w:p>
    <w:p>
      <w:r>
        <w:t>Vaud Tribunal cantonal Cour des poursuites et faillites 26.04.2018 Séquestre / 2018 / 3</w:t>
      </w:r>
    </w:p>
    <w:p>
      <w:r>
        <w:t>ACTE DE RECOURS, MOTIVATION DE LA DEMANDE, CONDITION DE RECEVABILITÉ, DÉCISION D'IRRECEVABILITÉ | 321 al. 1 CPC (CH)</w:t>
      </w:r>
    </w:p>
    <w:p>
      <w:r>
        <w:t>TRIBUNAL CANTONAL KE17.052742-180371 64 Cour des poursuites et faillites ________________________________________________ Arrêt du 26 avril 2018 __________________ Composition :              Mme Byrde , présidente MM. Hack et Maillard, juges Greffier : M.              Elsig ***** Art. 321 al. 1 CPC Vu le prononcé non motivé rendu le 11 janvier 2018, à la suite de l’audience du même jour, par le Juge de paix du district de Lausanne, notifié au requérant le 23 janvier 2018, rejetant, dans la mesure où elle était recevable, l’opposition formée par H.________ , à [...], contre l’ordonnance de séquestre scellée le 11 octobre 2017 à l’instance de la Caisse T.________ , à [...], confirmant l’ordonnance de séquestre du 11 octobre 2017, rendant le prononcé sans frais, compte tenu de l’exonération de toute franchise mensuelle dont bénéficiait le requérant à la suite de la décision du 22 décembre 2017 lui accordant l’assistance judiciaire, n’allouant pas de dépens, disant que le prononcé était immédiatement exécutoire, nonobstant recours ou appel et rejetant toutes autres ou plus amples conclusions, vu la demande de motivation de ce prononcé déposée le 26 janvier 2018 par H.________, vu les motifs du prononcé adressés aux parties le 23 février 2018 et notifiés à H.________ le 26 février 2018, vu le recours interjeté contre le prononcé le 8 mars 2018 par H.________, vu les autres pièces du dossier ; attendu que la demande de motivation et le recours ont été déposés dans les délais de dix jours des art. 239 al. 2 et 321 al. 2 CPC (Code de procédure civile du 19 décembre 2008 ; RS 272),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conteste principalement les décisions de restitution de prestations qui fondent le séquestre en cause, mais ne remet nullement en cause la motivation du premier juge selon laquelle ces griefs ne peuvent être pris en compte au stade de la procédure d’opposition au séquestre, que le recours ne satisfait donc pas aux exigences de motivation posées par l’art. 321 al. 1 CPC et la jurisprudence susmentionnée, qu’il est en conséquence irrecevable ; attendu qu’au demeurant, dans la mesure où le recourant soutiendrait que la rente en cause n’est pas séquestrable, ce moyen devrait être rejeté, qu’en effet, si le séquestre ne peut porter sur des biens insaisissables selon l’art. 92 LP (loi fédérale du 11 avril 1889 sur la poursuite pour dette et la faillite ; RS 281.1) (ATF 107 III 37 consid. 4, JdT 1983 II 27), les prestations de la prévoyance libre pilier 3b n’entrent pas dans le cadre d’application de cette disposition (TF 5A_746/2010 du 12 janvier 2011)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H.________, ‑ Caisse T.________. La Cour des poursuites et faillites considère que la valeur litigieuse est de 28’919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