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1 vom 10. Dezember 2015</w:t>
      </w:r>
    </w:p>
    <w:p>
      <w:r>
        <w:t>VD Tribunal cantonal, 2015-12-10, FR</w:t>
      </w:r>
    </w:p>
    <w:p>
      <w:r>
        <w:rPr>
          <w:b/>
        </w:rPr>
        <w:t xml:space="preserve">Quelle: </w:t>
      </w:r>
      <w:r>
        <w:t>https://mcp.opencaselaw.ch/entscheid/vd_findinfo_S_questre___2016___1</w:t>
      </w:r>
    </w:p>
    <w:p>
      <w:r>
        <w:t>FR: VD_FINDINFO Séquestre / 2016 / 1 du 10 décembre 2015</w:t>
      </w:r>
    </w:p>
    <w:p>
      <w:r>
        <w:t>IT: VD_FINDINFO Séquestre / 2016 / 1 del 10 dicembre 2015</w:t>
      </w:r>
    </w:p>
    <w:p>
      <w:pPr>
        <w:pStyle w:val="Heading2"/>
      </w:pPr>
      <w:r>
        <w:t>Regeste</w:t>
      </w:r>
    </w:p>
    <w:p>
      <w:r>
        <w:t>FOR DU SÉQUESTRE, SÉQUESTRE{LP}, SOCIÉTÉ SIMPLE, IMMEUBLE, PART DE COMMUNAUTÉ | 544 CO, 272 al. 1 ch. 1 LP, 2 OPC</w:t>
      </w:r>
    </w:p>
    <w:p>
      <w:pPr>
        <w:pStyle w:val="Heading2"/>
      </w:pPr>
      <w:r>
        <w:t>Erwägungen</w:t>
      </w:r>
    </w:p>
    <w:p>
      <w:r>
        <w:rPr>
          <w:b/>
        </w:rPr>
        <w:t>E. 11</w:t>
      </w:r>
    </w:p>
    <w:p>
      <w:r>
        <w:t>avril 1889 sur la poursuite pour dettes et la faillite ; RS 281.1]). Il est recevable. b) La réponse déposée dans le délai de l’art. 322 al. 2 CPC est également recevable. II. La recourante soutient que les autorités et les tribunaux suisses ne sont pas compétents pour connaître de la requête de séquestre déposée par l’intimée. Ce moyen n’a pas été discuté par le premier juge. La recourante ne l’a pas soulevé dans ses écritures en première instance. Elle soutient toutefois l’avoir fait oralement lors de l’audience du 18 août 2015. Peu importe toutefois dès lors que la question de la compétence doit être examinée d’office (Gilliéron, Commentaire de la loi fédérale sur la poursuite pour dettes et la faillite [ci-après : Commentaire], n. 38 ad art. 272 LP ; art. 60 CPC ; CPF 18 août 2015/234 consid. III a)). a) Le créancier ne peut obtenir un séquestre que s’il rend vraisemblable l’existence de l’un des six cas de séquestre énumérés exhaustivement à l’art. 271 LP (Gilliéron, Poursuite pour dettes, faillite et concordat, 5 e éd., [ci-après : Poursuite] n° 2184). Lorsqu’un créancier a plusieurs codébiteurs et qu’il veut requérir un séquestre contre eux, il doit obtenir un séquestre contre chacun d’eux individuellement (Gilliéron, Poursuite, n° 2143). D’après l’art. 272 al. 1 LP, le séquestre est autorisé par le juge du for de la poursuite ou par le juge du lieu où se trouvent les biens. Cette compétence alternative a été introduite avec d'autres modifications de la LP, entrées en vigueur le 1er janvier 2011, dans le cadre de l'adoption et de la mise en œuvre de la Convention de Lugano révisée, concernant la compétence judiciaire, la reconnaissance et l'exécution des décisions en matière civile (Message du 18 février 2009, Feuille fédérale [FF] 2009 1497, p. 1539; Arrêté fédéral du 11 décembre 2009; RO 2010 5601; FF 2009 7973). En l’espèce, l’inexistence en Suisse d’un for de poursuite au sens des art. 46 ss LP n’est pas contestée. Il reste ainsi à déterminer si le juge de paix pouvait prononcer le séquestre requis en tant que juge du lieu où se trouvent les biens à séquestrer. b) Selon l'art. 544 al. 1 CO (Code des obligations du 30 mars 1911 ;RS 220), applicable à la société simple, les choses, créances et droits réels transférés ou acquis à la société appartiennent en commun aux associés dans les termes du contrat de société. Dès lors qu'aucune convention contraire n’est prouvée, il faut en déduire que les biens de la société simple appartiennent, sous la forme de la propriété en main commune, à tous les associés (ATF 137 III 455, spéc. 459, consid. 3.4). Le séquestre des droits du débiteur dans une communauté ne peut porter que sur le produit lui revenant dans la liquidation de cette dernière, et non sur les biens eux-mêmes, meubles ou immeubles, appartenant à la communauté (ATF 118 III 62 consid. 2 b et les réf. citées, JdT 1994 II 78 ; Gilliéron, Commentaire, n° 49 ad 272 LP). Selon le Tribunal fédéral, il en résulte que même si un immeuble faisant partie des biens communs est situé en Suisse, les autorités de poursuite de ce pays ne sont pas compétentes pour autoriser et exécuter un séquestre sur la part de communauté d'un héritier domicilié à l'étranger (ATF 124 III 505, JdT 1999 II 144 ; ATF 118 III 62 consid. 2 c, JdT 1994 II 78). Les Juges fédéraux ont fondé leur raisonnement sur l’ordonnance du Tribunal fédéral concernant la saisie et la réalisation de parts de communautés (OPC), applicable au séquestre en vertu du renvoi de l’art. 275 LP, notamment dans les cas où le débiteur poursuivi a une part dans une succession non partagée (art. 1 al. 1 OPC) et dont l’art. 2 stipule que l’office des poursuites compétent pour saisir une part de communautés, ou les revenus en provenant, est l’office de domicile du débiteur , lors même que les biens de la communauté (meubles ou immeubles) sont situés en tout ou en partie dans un autre arrondissement. Cette jurisprudence a été critiquée (voir notamment la note critique de Pierre-Robert Gilliéron in JdT 1994 II 78). Le Tribunal fédéral l’a toutefois confirmée dans un arrêt ultérieur du 29 mai 1996 (TF B.96/1996 consid. 2 et 3 cité in TF 5A_628/2012), puis dans un arrêt du 20 août 2004 (TF 5P.94/2004 consid. 5) où il a considéré que les critiques doctrinales ne justifiaient pas un nouvel examen, ainsi que dans un arrêt du 29 janvier 2013 (TF 5A_628/2012 c. 3.1.2). Dans un arrêt encore plus récent, le Tribunal fédéral, après avoir rappelé la jurisprudence précitée, à même considéré que les opérations effectuées par un office des poursuites à la suite d’une ordonnance de séquestre portant sur la part dans une succession non partagée d’un débiteur domicilié à l’étranger étaient nulles au sens de l’art. 22 LP (TF 5A_435/2014 du 21 octobre 2014, c. 3.2 et 3.3). L’ordonnance du Tribunal fédéral concernant la saisie et la réalisation de parts de communautés s’applique également dans les cas où le débiteur possède une part de communauté dans une société simple, à tout le moins lorsque le contrat de société ne prévoit pas expressément que les biens sociaux sont la copropriété des associés (art. 1 al. 2 OPC). La jurisprudence précitée est donc également applicable en cas de séquestre visant la part de communauté détenue par le débiteur dans une société simple et cela même lorsque la communauté ne s’étend qu’à une chose unique (art. 1 al. 1 OPC). En d’autres termes, lorsque le débiteur est domicilié à l’étranger, la part de communauté qu’il détient dans une société simple ne peut pas être séquestrée en Suisse (CPF 15 juin 2001/27). c) En l’espèce, il ressort de l’extrait du registre foncier produit que la recourante est propriétaire en main commune avec B.C.________ de l’immeuble n° [...] de la commune de Montreux. C’est donc tout au plus le produit lui revenant dans le cadre de la liquidation de la société simple qui pouvait être séquestré, comme l’a à juste titre relevé l’office dans son avis de rejet de réquisition du 23 avril 2015. Il n’est toutefois pas contesté que la recourante est actuellement domiciliée à l’étranger, soit aux États-Unis. Le séquestre de sa part de communauté ne pouvait donc être ordonné en Suisse, conformément aux principes exposés ci-dessus. Le recours est dès lors bien fondé. III. Vu ce qui précède, le recours doit être admis et le prononcé réformé en ce sens que l'opposition au séquestre est admise et l'ordonnance de séquestre du 23 avril 2015 annulée. Les frais judiciaires de première instance, arrêtés à 480 fr., compensés avec l'avance de frais effectuée par l’opposante, seront mis à la charge de l'intimée. La recourante peut également prétendre à des dépens de première instance. Dans la mesure où elle a consulté le même avocat que B.C.________ dans l’affaire parallèle qui porte sur un état de fait similaire, il faut tenir compte du fait que le temps consacré à chacune des procédures s’en est trouvé réduit et faire application de l’art 20 al. 2 TDC (tarif du 23 novembre 2010 des dépens en matière civile ; RSV 270.11.6) (TF 4A_93/2010 du 9 juin 2010 consid. 4 ; TF 4D_65/2009 du 13 juillet 2009 consid. 2 ; TF 4D_66/2009 du 13 juillet 2009 consid. 2). Un montant de 1'500 fr. apparaît à cet égard adéquat. L’intimée devra par conséquent lui verser la somme de 1’980 fr. à titre de restitution d'avance de frais et de dépens de première instance. Les frais judiciaires de deuxième instance, arrêtés à 690 fr., compensés avec l'avance de frais effectuée par la recourante, sont mis à la charge de l'intimée. Cette dernière devra en outre verser des dépens de deuxième instance réduits à 1'000 fr. pour les mêmes motifs que ceux évoqués au considérant précédent. L’intimée devra par conséquent verser à la recourante la somme de 1’690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