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6 vom 28. September 2015</w:t>
      </w:r>
    </w:p>
    <w:p>
      <w:r>
        <w:t>VD Tribunal cantonal, 2015-09-28, FR</w:t>
      </w:r>
    </w:p>
    <w:p>
      <w:r>
        <w:rPr>
          <w:b/>
        </w:rPr>
        <w:t xml:space="preserve">Quelle: </w:t>
      </w:r>
      <w:r>
        <w:t>https://mcp.opencaselaw.ch/entscheid/vd_findinfo_S_questre___2015___6</w:t>
      </w:r>
    </w:p>
    <w:p>
      <w:r>
        <w:t>FR: VD_FINDINFO Séquestre / 2015 / 6 du 28 septembre 2015</w:t>
      </w:r>
    </w:p>
    <w:p>
      <w:r>
        <w:t>IT: VD_FINDINFO Séquestre / 2015 / 6 del 28 settembre 2015</w:t>
      </w:r>
    </w:p>
    <w:p>
      <w:pPr>
        <w:pStyle w:val="Heading2"/>
      </w:pPr>
      <w:r>
        <w:t>Regeste</w:t>
      </w:r>
    </w:p>
    <w:p>
      <w:r>
        <w:t>CAS DE SÉQUESTRE, SÉQUESTRE{LP}, SÛRETÉS, FOR DU SÉQUESTRE, DOL{VICE DU CONSENTEMENT} | 28 CO, 31 CO, 271 al. 1 ch. 2 LP, 271 al. 1 ch. 4 LP, 272 al. 1 ch. 1 LP, 272 al. 1 ch. 2 LP, 272 al. 1 ch. 3 LP, 272 al. 1 LP, 273 al. 1 LP, 278 al. 3 LP</w:t>
      </w:r>
    </w:p>
    <w:p>
      <w:pPr>
        <w:pStyle w:val="Heading2"/>
      </w:pPr>
      <w:r>
        <w:t>Erwägungen</w:t>
      </w:r>
    </w:p>
    <w:p>
      <w:r>
        <w:rPr>
          <w:b/>
        </w:rPr>
        <w:t>E. 46</w:t>
      </w:r>
    </w:p>
    <w:p>
      <w:r>
        <w:t>LP), réel et effectif, de sorte que, pour que le cas de séquestre en question soit réalisé, il ne doit pas y avoir en Suisse de for ordinaire de poursuite (Gilliéron, op. cit., n. 56 ad art. 271 LP), inclus les fors des art. 50 à 52 LP (Schüpbach, Commentaire romand de la LP, n. 10 ad art. 46 LP; Stoffel/Chabloz, ibid., n. 64 ad art. 271 LP). Le Tribunal fédéral n’a pas formellement tranché la question de savoir si le "domicile" au sens de l’art. 271 al. 1 ch. 4 LP est défini par l’art. 23 al. 1 CC [Code civil du 10 décembre 1907; RS 210] ou par l’art. 20 al. 1 let. a LDIP [loi fédérale sur la droit international privé du 18 décembre 1987; RS 291], comme le préconisent deux auteurs précités (Stoffel/Chabloz, op. cit., n. 65 ad art. 271 LP). La notion de domicile est de toute manière la même quelle que soit la norme considérée (TF 5P.291/2004 du 22 septembre 2004, c. 4.1; CPF, 15 avril 2010/166).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 5.2.1; ATF 127 V 237 c. 1; CPF, 15 avril 2010/166; CPF, 27 mai 2014/192).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Le moment décisif pour fixer le domicile est celui du dépôt de la requête de séquestre (TF 5A_870/2010 du 15 mars 2011, c. 3.1 et les réf citées). La fiction du maintien de l’ancien domicile tant qu’un nouveau domicile n’est pas créé (art. 24 al. 2 CC) n’est pas applicable en matière de LP (ATF 119 III 51, JT 1996 II 35; ATF 119 III 54, JT 1995 I 18; CPF, 26 janvier 2012/90 précité). C’est au prétendu créancier qu’il appartient de rendre vraisemblable l'absence de domicile en Suisse du débiteur et le domicile à l’étranger de celui-ci. Le fait que le débiteur soit atteignable en un lieu ne signifie pas qu’il y est domicilié, ni le refus de l’office de donner suite à une réquisition pour le motif que débiteur n'est pas atteignable en un lieu, que ce dernier n'y est pas domicilié (Schüpbach, op. cit., n. 12 ad art. 46 LP). b) En l’espèce, il n’est pas contesté que l’intimé était initialement domicilié à [...] à Z.________. Il résulte toutefois du rapport d’enquête établi par le détective J.________ le 8 février 2015 que les voisins de l’intimé à cette adresse ont déclaré, le 6 février 2015, que ce dernier et son épouse ne résidaient plus à cet endroit depuis trois semaines et qu’ils avaient déménagé pour une adresse inconnue en France voisine. Ce même détective a par ailleurs précisé, dans un rapport daté du 19 mai 2015 qu’il s’était rendu le 18 mars 2015 à F.________, en France et s’était entretenu avec l’ancienne maire de la ville laquelle lui a indiqué que l’intimé et son époux avaient emménagé, à la rentrée 2014, dans une villa sise au [...] à F.________, qu’elle les croisait régulièrement et que, selon elle, il s’agissait de leur résidence principale. Il ressort en outre d’un rapport établi le 20 mars 2015 par D.________, qui s’est rendu à F.________ en France le même jour, qu’un agent municipal de la commune, la tenancière et plusieurs clients d’un restaurant ainsi que la factrice du village lui ont indiqué que l’intimé et son épouse habitaient, depuis quelques mois dans cette commune, plus précisément au [...], certaines de ces personnes précisant même que l’intimé devait être marchand de camping-cars. Le détective a par ailleurs pu constater que les noms de l’intimé et de son épouse figuraient bien sur la boîte aux lettres de la demeure cossue sise à cet endroit. Il a également relevé la présence de véhicules non immatriculés, dont des camping-cars, dans la cour de cette maison. Le détective rapporte en outre qu’une voisine lui a confirmé que les époux M.________ avaient emménagé à cet endroit environ six ou huit mois auparavant. Il ressort par ailleurs d’un rapport complémentaire établi par ce même détective le 27 mai 2015 qu’à l’occasion d’un entretien du 26 mai avec le maire de la commune, celui-ci lui a indiqué que les époux M.________ avaient bien acheté une maison de la commune et qu’il les considérait comme résidents quand bien même il ne vérifiait pas s’il y avait quelqu’un en permanence à cette adresse. Le même jour, le détective a constaté que les volets de la maison en question étaient ouverts, que les poubelles étaient sorties ainsi que la présence d’un animal domestique sur le pas de porte. A la lecture de ces différents documents, il parait à tout le moins vraisemblable que l’intimé et son épouse ont bien déménagé en France dans l’intention de s’y établir et qu’ils y avaient leur domicile lors du dépôt de la requête de séquestre le 16 février 2015. L’intimé soutient toutefois que la maison de F.________ ne constitue qu’une résidence secondaire et que depuis le 1 er février 2015, leur domicile est en réalité à N.________, plus précisément à la rue de [...]. Il se prévaut à cet égard d’une attestation de résidence de la commune de N.________. Selon la jurisprudence (TF 7B.207/2003 (c. 3)), une telle attestation, basée sur les seuls dires de l’intéressé, ne revêt toutefois pas une force probante particulière; au demeurant, l’art. 22 al. 4 LCH [loi vaudoise du 9 mai 1983 sur le contrôle des habitants; RSV 142.01] précise bien que les registres du contrôle des habitants ne font pas foi de leur exactitude. Il invoque également le contrat de bail signé par lui-même et son épouse le 21 avril 2010 qui porte sur un appartement sis à cette adresse. Selon les déclarations de l’intimé à l’audience de première instance, ce bail avait été signé à l’époque pour le compte de leur fils. L’intimé et son épouse se seraient désormais installés avec leur fils cadet dans cet appartement. Il ressort toutefois du contrat de bail que l’appartement question est un deux pièces de 57 m² doté d’une seule chambre à coucher. Une cohabitation à trois adultes dans un tel appartement, si elle n’est pas impossible, reste tout de même peu probable. Elle l’est d’autant moins qu’il résulte du rapport établi par J.________ le 27 mai 2015 que le nom de l’intimé et de son épouse ne figure sur aucune boîte à lettres ni porte à l’adresse de [...] à N.________. L’intimé a par ailleurs déclaré travailler quotidiennement dans un box se trouvant au [...] à N.________. Il n’a toutefois produit aucun document susceptible d’établir la réalité et l’étendue de cette activité. Il résulte certes du rapport du 27 mai 2015 susmentionné que ce box existe et que l’intimé a pu y être rencontré. Cela n’est toutefois pas suffisant pour considérer que l’intimé y exerce une activité professionnelle régulière. L’intimé se prévaut encore d’une attestation signée le 20 avril 2015 par le maire de F.________ selon laquelle lui et son épouse serait en résidence secondaire dans cette ville. Le maire en question a toutefois précisé, dans une attestation ultérieure, avoir délivré la précédente à la demande de l’intimé qui avait déclaré avoir sa résidence principale en Suisse. Elle n’a donc en définitive aucune valeur probante. Enfin, le fait que l’épouse de l’intimé doive payer un impôt sur les chiens à l’Etat de Vaud en 2015 n’exclut pas que les époux M.________ aient désormais choisi de s’établir durablement en France. En définitive, il apparaît plus vraisemblable que l’intimé avait bien, au moment de la requête de séquestre, son domicile au [...] à F.________ en France. Le fait que l’ordonnance de séquestre, qui lui a été envoyée à cette adresse, ait pu lui être notifiée tend également à le confirmer. L’intimé ne soutient par ailleurs pas qu’il existerait un autre for de poursuite en Suisse. Il n’est enfin pas contesté que la créance invoquée - qui résulte de la résolution d’un contrat passé et exécuté en Suisse, entre deux parties alors domiciliées en Suisse et donc fondée sur un enrichissement illégitime qui s’est produit en Suisse - présente un lien suffisant avec ce pays. La réalisation du cas de séquestre de l’art 271 al. 1 ch. 4 LP est dès lors vraisemblable. V. La recourante soutient ensuite détenir une créance de 500'000 fr. à l’encontre de l’intimé à la suite de la résolution, pour vice du consentement, du contrat de vente passé avec lui. a) Le séquestrant doit rendre vraisemblable l'existence de la créance qu'il allègue (Gilliéron, op. cit., n. 11 ad art. 271 LP). La vraisemblance de la créance doit résulter des pièces, à l'exclusion de tout autre moyen de preuve (CPF, 17 avril 2008/156; CPF, 19 décembre 2001/566).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CPF, 10 avril 2013/159). Aux termes de l’art. 23 CO (Code des obligations du 30 mars 1911 ; RS 220),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 e éd., nn. 782 et 799, pp. 169 et 172 ; Schmidlin, Commentaire romand du CO, n. 1 ad art. 23-24 CO).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 165 ;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Conformément à l’art. 31 al. 1 CO, le contrat entaché d’erreur ou de dol est tenu pour ratifié lorsque la partie qu’il n’oblige point a laissé s’écouler une année sans déclarer à l’autre sa résolution de ne pas le maintenir, ou sans répéter ce qu’elle a payé. En outre, en tant que déclaration de volonté formatrice, la déclaration d’invalidation ne peut être conditionnelle (TF, 4C 53.2002, c. 3.1 ; ATF 98 Il 15, spéc. 22; ATF 79 II 144, spéc. 145 ; Schmidlin, Berner Kommentar, n. 74 ad art. 31 CO, p. 315) ;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op. cit., n. 68 ad art. 31 CO, p. 314). C’est à celui qui prétend avoir invalidé le contrat en temps utile de le prouver (art. 8 CC). Lorsqu’un contrat est invalidé en raison d’un vice de la volonté et que cette invalidation est fondée, le contrat est résolu avec un effet « ex tunc » (ATF 128 III 70, JT 2003 I 4). La partie dont le consentement est vicié peut alors, pour le cas où elle se serait exécutée, demander la restitution de la prestation selon les règles sur l’enrichissement illégitime ou la revendication (Tercier/Pichonnaz, Le droit des obligations, 5 e édition, § 15, n° 777). b) En l’espèce, il n’est pas contesté que les parties ont passé un contrat de vente portant sur du mobilier et des logiciels de gestion d’entreprise en septembre 2014. Il ressort en outre de ce contrat et plus particulièrement de son article 8 que l’intimé a certifié que l’ensemble du mobilier et des logiciels vendus étaient sa propriété et libre de tout engagement. Il n’est pas contesté non plus que la somme de 500'000 fr. a été versée à l’intimé en exécution du contrat. Il ressort cependant des pièces versées au dossier, et l’intimé l’admet du reste expressément, que ce dernier n’était en réalité pas propriétaire des logiciels vendus mais uniquement détenteur d’une licence. Au vu des garanties contenues à l’article 8 du contrat, il est possible que l’intimé ait voulu induire en erreur son cocontractant. Ce dernier a par ailleurs résolu le contrat par courrier du 22 janvier 2015, soit moins d’une année après sa signature. Il est ainsi vraisemblable qu’il dispose à l’encontre de l’intimé d’une créance en enrichissement illégitime d’un montant équivalent à la prestation effectuée, soit 500'000 francs. La créance apparaît ainsi suffisamment rendue vraisemblable. Les arguments invoqués par l’intimé devront être examinés par le juge du fond. VI. L’existence de biens appartenant au débiteur n’étant pas litigieuse, il résulte de ce qui précède que l’opposition aurait dû être rejetée et le séquestre confirmé. Il convient maintenant de déterminer si le créancier séquestrant doit fournir des sûretés, comme l'a requis le séquestré à titre subsidiaire dans son opposition au séquestre. a) En vertu de l'art. 273 al. 1 LP, le créancier répond du dommage qu'un séquestre injustifié peut causer tant au débiteur qu'aux tiers; le juge peut l'astreindre à fournir des sûretés. Le juge du séquestre astreindra le créancier à fournir des sûretés lorsque la créance ou le cas de séquestre sont douteux (TF 5A_165/2010 du 10 mai 2010 ; ATF 112 III 112 c. 2a), autrement dit lorsqu'il ne peut pas exclure que les faits qu'il a retenus au stade de la vraisemblance soient autres ou qu'un examen approfondi conduise à une autre solution juridique que celle dictée par un examen sommaire (Gilliéron, op. cit., nn. 27 et 37 ad art. 273). Le montant des sûretés dépend du dommage éventuel dont est menacé le débiteur en cas de séquestre injustifié (ATF 113 III 94 c. 12 ; ATF 93 I 278 c. 5b ; Gilliéron, op. cit., n. 36 ad art. 273). Le dommage découle de l'indisponibilité frappant les biens séquestrés (TF 5A_165/2010 c.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c. 11a et 11b précité). Selon la doctrine, un montant équivalent à deux années d'intérêt (10%) devrait souvent se révéler justifié (Stoffel/Chabloz, op. cit., n. 24 ad 273 LP). Le dommage comprend en outre les frais exposés dans les procédures de validation du séquestre et d'opposition à l'ordonnance de séquestre; en revanche, les frais de séquestre et de la poursuite en validation du séquestre ne font pas partie du dommage, et ne peuvent donc pas être pris en considération dans les sûretés (ATF 113 III 94 c. 10 précité ; Gilliéron, op. cit., n. 36 ad art. 273 LP ; Jeandin, Mainlevée sommaire de l'opposition : développements récents et perspectives, in JT 2006 II p. 51 ss, p. 73).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Le séquestrant peut être astreint aux sûretés tant par l'ordonnance elle-même (art. 274 al. 2 ch. 5 LP) qu'à un stade ultérieur (TF 5A_757/2010 c. 2 ; Stoffel, in: Basler Kommentar, SchKG II, nn. 18, 24 et 30 ad art. 273 LP). Les parties peuvent demander au juge du séquestre de reconsidérer sa décision relative aux sûretés en le saisissant d’une requête. Elles peuvent alléguer des faits nouveaux (Gilliéron, op. cit., n. 34 ad art. 273). b) En l’espèce, l’existence d’un cas de séquestre doit certes être admise au stade de la vraisemblance mais reste toutefois douteuse compte tenu des incertitudes relatives notamment au domicile de l’intimé. La créance reste par ailleurs à établir. Il se justifie donc d’astreindre la séquestrante à fournir des sûretés. S’agissant du montant, l’intimé a évoqué un risque de dommage important sous forme de manque de liquidités. Faute d’éléments plus concrets,  il est justifié de s’en tenir au montant préconisé par la doctrine, soit l’équivalent de 10 % de la somme séquestrée, ce qui représente une somme de 50'000 fr., à laquelle on peut encore ajouter 5'000 fr. pour les frais exposés dans les procédures de validation du séquestre et d'opposition à l'ordonnance de séquestre. En conclusion, il convient d'astreindre le recourant, créancier séquestrant, à fournir des sûretés d'un montant de 55'000 francs. VII. En définitive, le recours doit être admis et le prononcé entrepris réformé en ce sens que l'opposition au séquestre est rejetée et le séquestre maintenu, le créancier séquestrant étant astreint au paiement de sûretés, à hauteur de 55'000 francs. Les frais judiciaires de première instance, arrêtés à 660 fr., sont mis à la charge de l’opposant qui succombe (art. 106 al. 1 CPC). Celui-ci doit en outre verser à l'intimé la somme de 4’000 fr. à titre de dépens de première instance (art. 3 et 6 TDC). Les frais judiciaires de deuxième instance, arrêtés à 1’200 fr., sont mis à la charge de l'intimé qui succombe (art. 106 al. 1 CPC). Celui-ci doit en outre verser au recourant la somme de 2’500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