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2 vom 13. Mai 2015</w:t>
      </w:r>
    </w:p>
    <w:p>
      <w:r>
        <w:t>VD Tribunal cantonal, 2015-05-13, FR</w:t>
      </w:r>
    </w:p>
    <w:p>
      <w:r>
        <w:rPr>
          <w:b/>
        </w:rPr>
        <w:t xml:space="preserve">Quelle: </w:t>
      </w:r>
      <w:r>
        <w:t>https://mcp.opencaselaw.ch/entscheid/vd_findinfo_S_questre___2015___2</w:t>
      </w:r>
    </w:p>
    <w:p>
      <w:r>
        <w:t>FR: VD_FINDINFO Séquestre / 2015 / 2 du 13 mai 2015</w:t>
      </w:r>
    </w:p>
    <w:p>
      <w:r>
        <w:t>IT: VD_FINDINFO Séquestre / 2015 / 2 del 13 maggio 2015</w:t>
      </w:r>
    </w:p>
    <w:p>
      <w:pPr>
        <w:pStyle w:val="Heading2"/>
      </w:pPr>
      <w:r>
        <w:t>Regeste</w:t>
      </w:r>
    </w:p>
    <w:p>
      <w:r>
        <w:t>EXÉCUTION DU SÉQUESTRE, FOR DU SÉQUESTRE, MODIFICATION{EN GÉNÉRAL}, RECTIFICATION DE LA DÉCISION | 271 LP, 272 LP</w:t>
      </w:r>
    </w:p>
    <w:p>
      <w:pPr>
        <w:pStyle w:val="Heading2"/>
      </w:pPr>
      <w:r>
        <w:t>Erwägungen</w:t>
      </w:r>
    </w:p>
    <w:p>
      <w:r>
        <w:rPr>
          <w:b/>
        </w:rPr>
        <w:t>E. 25</w:t>
      </w:r>
    </w:p>
    <w:p>
      <w:r>
        <w:t>mars 2015 annulée, la cause étant renvoyée au Juge de paix du district de Lausanne pour qu’il fasse exécuter l’ordonnance de séquestre qu’il a rendue le 6 mars 2015 également par les Offices des poursuites du district de l’Ouest lausannois et du district du Jura – Nord vaudois.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CPF, 24 novembre 2014/393; 21 novembre 2014/391; CPF, 10 avril 2014/145). Tel étant le cas en l'espèce, les frais de deuxième instance, arrêtés à 1’350 fr., doivent être laissés à la charge de l'Etat et l'avance de frais de ce montant effectuée par la recourante doit lui être restituée. L’art. 107 CPC ne permet en revanche pas de mettre des dépens à la charge du canton (Tappy, in Bohnet et alii (éd.), Code de procédure civile commenté, n. 34 et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