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12 vom 11. November 2015</w:t>
      </w:r>
    </w:p>
    <w:p>
      <w:r>
        <w:t>VD Tribunal cantonal, 2015-11-11, FR</w:t>
      </w:r>
    </w:p>
    <w:p>
      <w:r>
        <w:rPr>
          <w:b/>
        </w:rPr>
        <w:t xml:space="preserve">Quelle: </w:t>
      </w:r>
      <w:r>
        <w:t>https://mcp.opencaselaw.ch/entscheid/vd_findinfo_S_questre___2015___12</w:t>
      </w:r>
    </w:p>
    <w:p>
      <w:r>
        <w:t>FR: VD_FINDINFO Séquestre / 2015 / 12 du 11 novembre 2015</w:t>
      </w:r>
    </w:p>
    <w:p>
      <w:r>
        <w:t>IT: VD_FINDINFO Séquestre / 2015 / 12 del 11 novembre 2015</w:t>
      </w:r>
    </w:p>
    <w:p>
      <w:pPr>
        <w:pStyle w:val="Heading2"/>
      </w:pPr>
      <w:r>
        <w:t>Regeste</w:t>
      </w:r>
    </w:p>
    <w:p>
      <w:r>
        <w:t>CAS DE SÉQUESTRE, SÉQUESTRE{LP}, FOR DE LA POURSUITE, DOMICILE | 271 al. 1 ch. 4 LP, 272 al. 1 LP, 272 LP</w:t>
      </w:r>
    </w:p>
    <w:p>
      <w:pPr>
        <w:pStyle w:val="Heading2"/>
      </w:pPr>
      <w:r>
        <w:t>Erwägungen</w:t>
      </w:r>
    </w:p>
    <w:p>
      <w:r>
        <w:rPr>
          <w:b/>
        </w:rPr>
        <w:t>E. 11</w:t>
      </w:r>
    </w:p>
    <w:p>
      <w:r>
        <w:t>avril 1889 sur la poursuite pour dettes et la faillite ; RS 281.1]). Il est recevable. II. Aux termes de l'art. 272 al. 1 LP, le séquestre est autorisé par le juge compétent lorsque le créancier rend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 Hohl, Procédure civile, tome II, nn. 2758 ss, p. 225 ; Reeb, Les mesures provisoires dans la procédure de poursuite, in RDS 1997 II, pp. 465-466).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L’autorité saisie d’un recours contre l’admission de l’opposition au séquestre (art. 278 LP) ne dispose pas d’un pouvoir d’examen plus large que celui du juge de l’opposition ; elle statue pareillement sous l’angle de la vraisemblance de la réalisation des conditions du séquestre. Il suffit ainsi que le juge, se fondant sur les éléments objectifs, acquière l’impression que les faits pertinents se sont produits, mais sans qu’il doive exclure pour autant qu’ils se soient déroulés autrement (TF 5A_870/2010 du 15 mars 2011 consid. 3.2 et les réf. citées). III. La recourante soutient que le cas de séquestre prévu par l’art. 271 al. 1 ch. 4 LP serait réalisé en se référant aux informations données par le Contrôle des habitants de la Commune de Montreux et au fait que l’intimé n’a pas satisfait à ses obligations légales d’annonce en quittant cette commune. a)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du 10 décembre 1907; RS 210] ou par l’art. 20 al. 1 let. a LDIP [loi fédérale sur la droit international privé du 18 décembre 1987; RS 291], comme le préconisent deux auteurs précités (Stoffel/Chabloz, op. cit., n. 65 ad art. 271 LP). La notion de domicile est de toute manière la même quelle que soit la norme considérée (TF 5P.291/2004 du 22 septembre 2004, consid.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consid. 5.2.1; ATF 127 V 237 consid.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consid. 3.1 et les réf citées). La fiction du maintien de l’ancien domicile tant qu’un nouveau domicile n’est pas créé (art. 24 al. 2 CC) n’est pas applicable en matière de LP (ATF 119 III 51, JdT 1996 II 35; ATF 119 III 54, JdT 1995 I 18; CPF, 26 janvier 2012/90 précité). C’est au prétendu créancier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 que ce dernier n'y est pas domicilié (Schüpbach, op. cit., n. 12 ad art. 46 LP). b) En l’espèce, il n’est pas contesté par la recourante que l’intimé a établi avoir son domicile à Blonay depuis le 1 er juin 2013. L’intimé n’était donc pas domicilié à l’étranger à la date de la requête de séquestre, de sorte que le cas de l’art. 271 al. 1 ch. 4 LP n’est pas réalisé. Le fait que l’intimé ait omis d’annoncer sa nouvelle adresse au Contrôle des habitants de la Commune de Montreux n’est à cet égard pas déterminant et le premier juge a tenu compte de ce fait dans la répartition des frais de première instance. IV. En conclusion, le recours doit être rejeté et le prononcé confirmé. Vu le rejet du recours et l’existence d’un procédure connexe identique visant T.________, les frais judiciaires de deuxième instance sont réduits de moitié et fixés à 285 francs. Ils sont mis à la charge de la recourante, le solde de son avance, par 285 fr., lui étant restitué.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