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2013 / 8 vom 5. Juli 2013</w:t>
      </w:r>
    </w:p>
    <w:p>
      <w:r>
        <w:t>VD Tribunal cantonal, 2013-07-05, FR</w:t>
      </w:r>
    </w:p>
    <w:p>
      <w:r>
        <w:rPr>
          <w:b/>
        </w:rPr>
        <w:t xml:space="preserve">Quelle: </w:t>
      </w:r>
      <w:r>
        <w:t>https://mcp.opencaselaw.ch/entscheid/vd_findinfo_S_questre___2013___8</w:t>
      </w:r>
    </w:p>
    <w:p>
      <w:r>
        <w:t>FR: VD_FINDINFO Séquestre / 2013 / 8 du 5 juillet 2013</w:t>
      </w:r>
    </w:p>
    <w:p>
      <w:r>
        <w:t>IT: VD_FINDINFO Séquestre / 2013 / 8 del 5 luglio 2013</w:t>
      </w:r>
    </w:p>
    <w:p>
      <w:pPr>
        <w:pStyle w:val="Heading2"/>
      </w:pPr>
      <w:r>
        <w:t>Regeste</w:t>
      </w:r>
    </w:p>
    <w:p>
      <w:r>
        <w:t>CONVENTION DE LUGANO, DROIT D'ÊTRE ENTENDU, DÉCLARATION D'EXÉCUTION, DROIT D'OBTENIR UNE DÉCISION, INTERDICTION DE L'ARBITRAIRE, CAS DE SÉQUESTRE | 271 al. 1 ch. 6 LP, 32 CL (2007)</w:t>
      </w:r>
    </w:p>
    <w:p>
      <w:pPr>
        <w:pStyle w:val="Heading2"/>
      </w:pPr>
      <w:r>
        <w:t>Erwägungen</w:t>
      </w:r>
    </w:p>
    <w:p>
      <w:r>
        <w:rPr>
          <w:b/>
        </w:rPr>
        <w:t>E. 11</w:t>
      </w:r>
    </w:p>
    <w:p>
      <w:r>
        <w:t>décembre 2007). b) La recourante soutient que la décision roumaine "exécutoire" ne lui a pas été notifiée, ce qui l’aurait empêché de la contester. Elle se prévaut d'une ordonnance roumaine n° 5 du 19 juillet 2011 concernant la procédure de sommation de paiement dont les art. 9 et 10 prévoient qu'une décision découlant de la procédure de sommation constitue un titre exécutoire remis au créancier et dont une copie est communiquée au débiteur. Une partie intéressée peut alors former contestation à l'exécution. On ne comprend pas bien si la recourante se plaint de ne jamais avoir reçu la sentence elle-même, ou seulement la sentence "munie du sceau la déclarant exécutoire". Quoi qu’il en soit, ces griefs ne concernent pas la notification d’un acte introductif d’instance, ayant abouti à un jugement par défaut. Il ressort de la sentence litigieuse qu’elle a été rendue au terme d’une procédure contradictoire durant laquelle la débitrice a fait valoir ses moyens. De même, la recourante allègue dans son recours avoir exercé le recours ouvert contre cette décision. Elle n’a donc pas été empêchée de se défendre, et on peut en déduire que la sentence elle-même lui a été notifiée. Au demeurant, l’ordonnance roumaine dont la recourante se prévaut ne paraît pas avoir la portée qu’elle lui prête : elle préconise la notification – et permet la contestation – de la sentence, non celle de l’attestation de son caractère exécutoire. Ainsi, rien ne permet de dire que la débitrice a été empêchée d’exercer l’un de ses droits. III. La recourante fait valoir que la sentence roumaine litigieuse a été rendue au terme d’une procédure sommaire, qu’elle peut être contestée par une procédure ordinaire – allégation contestée par l’intimée –, ce qu’elle aurait " précisément l’intention" de faire "prochainement", et que le litige n’a ainsi pas été "définitivement" tranché. a) On entend par décision, au sens de la CL, toute décision rendue par une juridiction d'un Etat lié, quelle que soit la dénomination qui lui est donnée, telle qu'arrêt, jugement, ordonnance ou mandat d'exécution, ainsi que la fixation par le greffier des frais de procès (art. 32 CL, qui reprend le texte de l’art. 25 aCL [Convention de Lugano du 16 septembre 1988 concernant la compétence judiciaire et l'exécution des décisions en matière civile et commerciale; aRS 0.275.11]). La décision en cause doit être exécutoire dans l'Etat d'origine, caractère qui peut ressortir de la décision elle-même, de la loi de l'Etat d'origine ou d'un document spécial en attestant (Donzallaz, La Convention de Lugano, vol. II, § 3521, pp. 677-678), mais l'art. 38 par. 1 CL (qui reprend l’art. 31 aCL) n'exige pas qu'elle ait force de chose jugée. L'exequatur peut ainsi être accordée à des mesures provisionnelles, à une décision au fond exécutoire par provision et au référé-provision du droit français fondé sur l'art. 809 NCPC (nouveau Code français de procédure civile; Kaufmann-Kohler, L'exécution des décisions étrangères selon la Convention de Lugano : titres susceptibles d'exécution, mainlevée définitive, procédure d'exequatur, mesures conservatoires, in SJ 1997, pp. 561 ss., sp. pp. 562-565 ; Donzallaz, La Convention de Lugano, Vol. I., n. 1657 ; CPF, 18 février 2010/74). b) Ainsi, le fait que la décision litigieuse découle d’une procédure sommaire n’est pas un obstacle à son exécution. De plus, à supposer que la débitrice puisse encore intenter une nouvelle procédure pour la contester, ce fait demeure sans incidence tant qu’un tribunal n’a pas rendu une décision en sa faveur, par exemple un blocage provisionnel. Le droit suisse connaît aussi ce type de procédures comme par exemple la procédure sommaire de mainlevée, qui peut aboutir à une exécution forcée si elle n’est pas contestée, mais qui peut également être suivie en tout temps d’une action en constatation de l’inexistence d’une créance. Une telle action n’empêche une exécution forcée que si le juge rend des mesures provisionnelles. IV. La recourante invoque une violation de l’art. 271 al. 3 LP. Elle reproche au premier juge de n’avoir pas rendu la décision d’exequatur avant de sceller l’ordonnance de séquestre. L'art. 271 al. 3 LP prévoit que dans les cas énoncés à l'art. 271 al. 1 ch. 6 LP qui concernent un jugement rendu dans un Etat étranger auquel s'applique la CL, le juge statue aussi sur la constatation de la force exécutoire. A supposer que ce grief soit fondé, il ne justifierait pas l’annulation de la décision d’exequatur mais seulement, éventuellement, de l’ordonnance de séquestre qui aurait dû être rendue postérieurement. Il devra être examiné dans le cadre du recours dirigé contre la décision sur opposition au séquestre. La recourante a également pris une conclusion tendant à l’annulation du séquestre, mais le présent recours est dirigé contre la décision d’exequatur. La révocation du séquestre ne se justifierait que par ricochet, si le recours était admis (CPF, 17 février 2012/35). V. La recourante invoque un déni de justice formel (art. 29 al. 1 Cst. [Constitution fédérale de la Confédération suisse du 18 avril 1999; RS 101]). Le juge de paix aurait refusé de, puis tardé à, statuer. En rendant sa décision après l’ordonnance de séquestre, il n’aurait "pas respecté le délai légal" qui s’imposait à lui. Aux termes de l'art. 29 al. 1 Cst.,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l'art. 29 al. 1 Cst. (TF 2C_601/2010 du 21 décembre 2010 c. 2; TF 5A 578/2010 du 19 novembre 2010; TF 5A_279/2010 du 24 juin 2010 c. 3.3 et les arrêts cités). En l'occurrence, dans un premier temps, le juge a refusé de rendre une décision formelle, estimant qu’elle découlait implicitement de l’ordonnance de séquestre. Il a toutefois modifié sa position par la suite en décidant d'examiner formellement la question de l'exequatur lors de l'audience du 26 février 2013 portant sur l'opposition au séquestre. Ainsi, on ne peut reprocher au juge de paix d'avoir refusé de statuer. Par ailleurs, la conséquence d'un éventuel déni de justice formel dans un tel cas n’est pas, comme le soutient la recourante, l’annulation de la décision attaquée. A cet égard, la jurisprudence citée par celle-ci à l'appui de son écriture concerne une violation du droit d’être entendu et non un déni de justice formel. Pour le surplus, le grief, dans la mesure où il évoque un dépassement d’un "délai légal ", se confond avec le précédent. VI. La recourante invoque une violation de son droit d’être entendue (art. 29 al. 2 Cst et 6 par. 1 CEDH [Convention européenne de sauvegarde des droits de l'homme et des libertés fondamentales du 4 novembre 1950, entrée en vigueur pour la Suisse le 28 novembre 1974; RS 0.101]). Elle se plaint de n’avoir pas pu faire valoir ses arguments relatifs à la question de l’exequatur dans le cadre de la procédure d’opposition au séquestre. Le système prévu par le législateur est le suivant (art. 38 al. 1 CL; art. 271 à 278 LP): le juge de paix statue sur l’exequatur puis sur le séquestre sans y associer le débiteur, pour ne pas vider de sa substance la procédure de séquestre. Le débiteur n’est informé des deux décisions qu’après coup. Au demeurant, vu l’urgence du séquestre et le délai nécessaire à la rédaction de la décision d’exequatur, il ne paraît pas inhabituel que, concrètement, les parties reçoivent celle-ci après l’ordonnance de séquestre, quand bien même la décision a été prise auparavant. En l’occurrence, d’ailleurs, le juge de paix a expliqué qu’il avait bel et bien examiné la question de la reconnaissance – et donc pris une décision – avant de sceller l’ordonnance de séquestre. Le dépôt du recours contre la décision d’exequatur n’a aucun effet sur le séquestre, qui est, ex lege, maintenu (art. 278 al. 4 LP) et ce n’est que l’admission éventuelle du recours qui entraîne la révocation du séquestre (CPF, 17 février 2012/35, précité). Dans le cadre de l’opposition au séquestre, le débiteur ne peut plus présenter d’arguments à ce sujet. Ainsi, un éventuel retard à notifier la décision d’exequatur a pour seul effet de repousser la possibilité de la faire annuler, ainsi que le séquestre, sur recours. Le débiteur conserve la possibilité de faire opposition au séquestre pour d’autres motifs que ceux liés à la reconnaissance de la décision étrangère. En l’espèce, la recourante n’a pas été privée de la possibilité de faire valoir les arguments pertinents dans chacune des procédures ouvertes à elle. Elle a recouru contre la décision d’exequatur et fait opposition au séquestre. VII. En conclusion, le recours doit être rejeté et le prononcé confirmé. Les frais judiciaires de deuxième instance, arrêtés à 690 fr., sont mis à la charge de la recourante qui succombe (art. 106 al.1 CPC). Celle-ci doit des dépens à l’intimée assistée d’un avocat, arrêtés à 2’000 fr. (art. 3 et 8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