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2013 / 10 vom 12. August 2013</w:t>
      </w:r>
    </w:p>
    <w:p>
      <w:r>
        <w:t>VD Tribunal cantonal, 2013-08-12, FR</w:t>
      </w:r>
    </w:p>
    <w:p>
      <w:r>
        <w:rPr>
          <w:b/>
        </w:rPr>
        <w:t xml:space="preserve">Quelle: </w:t>
      </w:r>
      <w:r>
        <w:t>https://mcp.opencaselaw.ch/entscheid/vd_findinfo_S_questre___2013___10</w:t>
      </w:r>
    </w:p>
    <w:p>
      <w:r>
        <w:t>FR: VD_FINDINFO Séquestre / 2013 / 10 du 12 août 2013</w:t>
      </w:r>
    </w:p>
    <w:p>
      <w:r>
        <w:t>IT: VD_FINDINFO Séquestre / 2013 / 10 del 12 agosto 2013</w:t>
      </w:r>
    </w:p>
    <w:p>
      <w:pPr>
        <w:pStyle w:val="Heading2"/>
      </w:pPr>
      <w:r>
        <w:t>Regeste</w:t>
      </w:r>
    </w:p>
    <w:p>
      <w:r>
        <w:t>CAS DE SÉQUESTRE, FOR DU SÉQUESTRE, ORDONNANCE DE SÉQUESTRE, DÉCLARATION D'EXÉCUTION, EXEQUATUR{CONSUL}, DEGRÉ DE LA PREUVE, NOUVEAU MOYEN DE PREUVE, DÉCISION ÉTRANGÈRE, RECONNAISSANCE DE LA DÉCISION, MOTIVATION DE LA DÉCISION, DROIT D'ÊTRE ENTENDU | 271 al. 1 ch. 6 LP</w:t>
      </w:r>
    </w:p>
    <w:p>
      <w:pPr>
        <w:pStyle w:val="Heading2"/>
      </w:pPr>
      <w:r>
        <w:t>Erwägungen</w:t>
      </w:r>
    </w:p>
    <w:p>
      <w:r>
        <w:rPr>
          <w:b/>
        </w:rPr>
        <w:t>E. 29</w:t>
      </w:r>
    </w:p>
    <w:p>
      <w:r>
        <w:t>novembre 2012. Par la suite, dans leurs courriers des 5 et 6 décembre 2012, les parties ont encore échangé leurs points de vue. Enfin, par lettre du 14 décembre 2012, le recourant invitait le juge à statuer "dès réception de la présente" et relevait que les parties s'étaient suffisamment exprimées quant à l'existence d'un cas de séquestre. Il est dès lors mal venu de prétendre avoir été surpris par la reprise de cause ou le fait que la décision a été rendue sans plus ample instruction après cela. A réception du courrier du 14 décembre 2012 qui ne présente ni ambiguïté ni condition, le juge pouvait penser que le requérant renonçait aux mesures d’instruction requises précédemment. C’est en vain que le recourant soutient qu’en vertu du principe de la bonne foi, il pouvait s’attendre à ce que le juge, s’il ne partageait pas sa position sur le fond, instruise plus avant. Ce grief est donc mal fondé. b) Le recourant reproche ensuite au juge de ne pas avoir examiné certains de ses arguments relatifs à son absence de compétence pour ordonner un séquestre relatif à des biens sis en dehors de son ressort. Le droit d'obtenir une décision motivée constitue l'un des aspects du droit d'être entendu (Haldy, Code de procédure civile commenté, n. 14 ad art. 53 CPC). Le juge a l'obligation de motiver ses décisions. Il n'est pas tenu d'exposer et de discuter tous les faits, moyens de preuves et griefs invoqués par les parties, mais peut se limiter à ceux qui lui paraissent pertinents (ATF 126 I 97; CPF, 1 er décembre 2004/547; CPF, 13 juin 2002/227). S'agissant d'un droit de nature formelle, la décision qui le transgresse doit en principe être annulée; toutefois, le vice peut être réparé lorsque l'autorité de recours dispose du même pouvoir de cognition que l'autorité de première instance (Haldy, op. cit. nn. 19 et 20 ad art. 53 CPC). Si le recours de l'art. 319 CPC a d'abord un effet cassatoire (contra Tappy, Les voies de droit du nouveau Code de procédure civile, in JT 2010 III 115, spéc. p. 162), l'instance supérieure peut toutefois trancher elle-même, donc réformer, si la cause est en état d'être jugée, l'exemple typique d'un effet réformatoire du recours étant celui d'un arrêt admettant le recours contre un jugement de mainlevée (Jeandin, Code de procédure civile commenté, n. 6 ad art. 327 CPC). En l’espèce, on comprend, au vu du résultat, que le juge a considéré comme non fondé l’argument relatif à son "incompétence" territoriale. Il a brièvement indiqué qu’il estimait que les pièces produites établissaient l’existence de biens du poursuivi et qu'ainsi cette condition était remplie. Cela constitue une motivation suffisante pour que les parties comprennent son point de vue. Ce grief doit donc également être rejeté. III. Le recourant fait valoir que, puisque c’est la Convention de Lugano dans sa version de 1988 (Convention de Lugano du 16 septembre 1988 concernant la compétence judiciaire et l'exécution en matière civile et commerciale) qui est applicable, le juge de paix n’était pas compétent pour séquestrer des biens situés hors de son ressort. Pour ce seul motif, le séquestre devrait être levé dans la mesure où il porte sur d’autres biens que l’immeuble de Rougemont. En vertu de l’art. 272 al. 1 LP, dans sa teneur en vigueur depuis le 1 er janvier 2011, le séquestre est autorisé par le juge du for de la poursuite ou par le juge du lieu où se trouvent les biens, à condition que le créancier rende vraisemblable que sa créance existe, qu’on est en présence d’un cas de séquestre et qu’il existe des biens appartenant au débiteur. L’art. 272 al. 1 LP a été modifié par l’art. 3 ch. 2 de l’Arrêté fédéral du 11 décembre 2009 portant approbation et mise en œuvre de la Convention de Lugano de 2007, laquelle est entrée en vigueur le 1 er janvier 2011 (RO 2010, p. 5601). Jusqu’au 31 décembre 2011, le juge compétent pour ordonner un séquestre était celui du lieu où se trouvaient les biens à séquestrer. Compte tenu de la réglementation prévue à l’art. 39 al. 2 CL 2007 (Convention de Lugano 2007; Convention concernant la reconnaissance judiciaire, la reconnaissance et l'exécution des décisions en matière civile et commerciale du 30 octobre 2007; RS 0.275.12), qui prévoit deux fors alternatifs, il est apparu nécessaire qu’une couverture territoriale identique soit prévue pour l’exequatur et pour l’ordonnance de séquestre; c’est la raison pour laquelle le séquestre peut maintenant être prononcé tant par le juge du lieu où se trouvent les biens que par le juge de l’un des fors de la poursuite au sens des art. 46 ss LP (FF 2009, p. 1497). Selon le Message, le premier tribunal compétent saisi en vertu de l’art. 272 LP peut prononcer le séquestre sur l’ensemble des biens du débiteur quel que soit le lieu où ils se trouvent en Suisse. La LP satisfait ainsi à la notion d’espace d’exécution unique en Suisse concrétisée par le CPC (FF 2009, p. 1528). Ainsi, si le juge du séquestre ne pouvait, jusqu’au 31 décembre 2010, adresser une ordonnance de séquestre qu’aux offices des poursuites de son ressort, il peut désormais les adresser à tous les offices de Suisse, sans qu’il soit nécessaire que des biens appartenant au débiteur se trouvent dans son arrondissement  (Muster, la nouvelle procédure et le droit des poursuites et faillites, in JT 2011 II 75 ss, p. 102 ; Bovey, La révision de la Convention de Lugano et le séquestre, in JT 2012 II 80, p. 93 ; Lazopoulos, Arrestrecht – die wesentlichen Änderungen im Zusammenhang mit dem revidierten LugÜ und der Schweizerischen ZPO, in PJA 2011 608 ss, p. 614). Cette modification ne vaut pas seulement dans le cadre de l’application de la Convention de Lugano révisée, mais pour tous les cas de séquestre (Meier-Dieterle, Arrestpraxis ab 1 Januar 2011, in PJA 2010, p. 1211 ss, p. 1218). La volonté du législateur, exprimée dans le Message (FF 2009 p. 1529), est en effet de créer un espace d'exécution unique en Suisse. Il découle de cette volonté que si la compétence territoriale du juge saisi d'une requête de séquestre est donnée – parce que c'est le lieu de situation d'un des biens à séquestrer ou l'un des fors de la poursuite – le lieu de situation des autres biens à séquestrer ne joue plus aucun rôle. Dans ce cas, il appartient au juge d'ordonner le séquestre des biens du débiteur dans les lieux désignés par le créancier, où qu'ils se trouvent en Suisse, et de notifier son ordonnance aux offices compétents (Meier-Dieterle, op. cit., n. 48, p. 1218; Louis Gaillard, Procédure civile et exécution forcée, séquestre et acte authentique exécutoire, in Journée 2010 de droit bancaire et financier, p. 71 ss, p. 84 ; CPF, 4 janvier 2013/557). A cet égard, le fait que la décision française produite soit soumise à la CL 1988 n'a pas de conséquence puisque, comme relevé plus haut, la modification vaut pour tous les cas de séquestre. L’argument du recourant est donc mal fondé. IV. Le recourant conteste que le cas de séquestre de l’art. 271 al. 1 ch. 6 LP soit réalisé. a) Il estime que si l’exequatur, qu’il soit examiné dans une décision séparée (art. 271 al. 3 LP) ou seulement à titre préjudiciel dans le cadre du séquestre, est refusé, alors le séquestre doit être refusé. Il n’y aurait plus de place pour un examen, fondé sur la seule vraisemblance, de la condition de l’existence d’un jugement exécutoire. Selon l'art. 271 al. 1 ch. 6 LP, le créancier d’une dette échue et non garantie par gage peut requérir le séquestre des biens du débiteur qui se trouvent en Suisse, lorsqu'il possède contre le débiteur un titre de mainlevée définitive. Cette disposition, entrée en vigueur le 1 er janvier 2011, instaure un nouveau cas de séquestre, introduit par le droit révisé de la Convention de Lugano (FF 2009, p. 7973; Arrêté fédéral du 11 décembre 2009 précité [RO 2010, p. 5601]). Ce nouveau cas de séquestre dépasse cependant les objectifs de la CL révisée, puisqu’il s’applique à l’ensemble des titres de mainlevée définitive et est également applicable aux titres de mainlevée suisses (TF 5A_355/2012 du 21 décembre 2012 c. 4.3.2). Contrairement aux autres cas de séquestre (art. 271 al. 1 ch. 1 à 5 LP), lorsqu'il invoque l'art. 271 al. 1 ch. 6 LP, le créancier n'a pas à rendre vraisemblable sa créance – qui découle en effet directement du titre produit –, la première et principale condition à l'octroi du séquestre étant l'existence d'un titre de mainlevée définitive au sens de l'art. 80 LP (Bovey, La révision de la Convention de Lugano et le séquestre, in JT 2012 II 80 ss, pp. 84-85). Constituent un titre de mainlevée définitive au sens de cette disposition les jugements exécutoires, suisses ou étrangers, les transactions ou reconnaissances passées en justice, les titres authentiques exécutoires, les décisions des autorités administratives suisses (ibid., eod. loc., p. 85). En procédure sommaire de séquestre, l'existence d'un tel titre doit être admise au terme d'un examen sommaire du droit fondé sur la simple vraisemblance des faits (TF, 5A_355/2012 précité c. 4.5.2). Le Tribunal fédéral a rappelé cette exigence du droit fédéral dans plusieurs arrêts. Il a précisé que l’existence d’un titre de mainlevée définitive doit seulement être admise provisoirement au terme d’un examen sommaire du droit fondé sur la simple vraisemblance des faits (TF 5A_355/2012 c. 4.5.2 précité; TF 5A_365/2012 du 17 août 2012 c. 4.3.2). La décision statuant sur la requête de séquestre s’apparente à la procédure de mesures superprovisionnelles. La décision est souvent prise dans l’urgence voire l’extrême urgence, avant que des biens ne disparaissent. Elle peut faire l’objet d’une opposition de la part de celui dont les droits sont touchés par le séquestre. Elle est donc suivie d’une procédure sommaire au cours de laquelle le juge entendra les parties, qui pourront produire des pièces (TF 5A_508/2012 du 28 août 2012, SJ 2013 I 33 c. 3.1). C’est la raison pour laquelle le Tribunal fédéral a retenu qu’il n’était pas arbitraire d’admettre que le juge du séquestre statue lui-même, à titre incident, sur le caractère exécutoire d’une décision étrangère "non Lugano" car exiger du requérant qu’il obtienne au préalable une décision d’exequatur, contradictoire, reviendrait à supprimer l’effet de surprise de la décision de séquestre. Le Tribunal fédéral a toutefois relevé que le juge devait examiner la question "avec soin", au vu des conséquences de sa décision (TF 5A_355/2012 c. 4.5.2 précité in fine ; CPF, 8 avril 2013/152). Le juge doit procéder différemment selon que la requête de séquestre est fondée sur un jugement "Lugano 2007" ou sur un jugement "non Lugano 2007". Dans la deuxième hypothèse, il examine incidemment seulement la question du caractère exécutoire du jugement invoqué, sous l’angle de la vraisemblance (art. 271 al. 3 LP a contrario). Dans le premier cas, comme il doit rendre une décision séparée sur l’exequatur, qui acquerra, au cas où la reconnaissance est accordée, force de chose jugée et ne vaudra pas seulement pour la procédure de séquestre pendante (Bovey, op. cit., p. 91), il doit vérifier que les conditions formelles sont remplies (Bovey, op. cit., pp. 86-87). Bovey est d’avis que la procédure d’opposition au séquestre doit, cas échéant, être suspendue jusqu’à droit connu sur le recours formé contre la décision d’exequatur. La CPF a suivi cet avis, en jugeant que l’admission d’un recours contre la décision du juge de paix de prononcer l’exequatur entraîne la révocation du séquestre : si le recours est admis et la déclaration d’exequatur annulée, il y a lieu d’annuler également le séquestre (CPF, 17 février 2012/35). Cela signifierait que l’octroi de l’exequatur est une condition du séquestre. Cette situation n'est pas satisfaisante parce qu'elle induit une inégalité de traitement entre créanciers, ceux qui se fondent sur un jugement "Lugano 2007" étant soumis à des exigences plus grandes pour obtenir un séquestre. De plus, il ne sera pas rare – puisque c’est l’objet de la procédure d’exequatur – que la reconnaissance soit refusée pour un motif purement formel, par exemple, comme en l’espèce, l’absence d’exemplaire original de copie certifiée conforme du jugement, et qu’une nouvelle requête complétée soit admise ; en l’occurrence d’ailleurs, dans son arrêt du 27 novembre 20122 admettant le recours contre la décision accordant l’exequatur, la cour de céans n’avait pas révoqué le séquestre. Cette conséquence n'est donc pas automatique. Bovey (op. cit., p. 87) est d’avis que lorsqu’il manque un document, le juge doit impartir au requérant un délai pour compléter sa requête. Enfin, il pourrait arriver que le requérant au séquestre, se fondant aussi sur un jugement "Lugano 2007", ne demande pas l’exequatur parce qu’elle aurait déjà été prononcée par un autre juge, mais que le prononcé d’exequatur ne soit pas lui-même définitif et exécutoire. Il convient ainsi de distinguer deux situations : si l’exequatur est refusée pour un motif de fond, il paraît vraisemblable que le créancier n’est pas au bénéfice d’un jugement qui pourra être exécutoire en Suisse. Dans ce cas, il est logique que l’admission du recours sur la décision d'exequatur entraîne la révocation du séquestre. En revanche, si l’exequatur est refusé pour un motif de forme, mais qu’il reste vraisemblable qu’il pourrait être accordé si le vice était rectifié, il est vraisemblable que le créancier est au bénéfice d’un jugement exécutoire. Dans ce cas, l’admission du recours ne doit pas entraîner ipso facto la révocation du séquestre. Bien sûr, il pourrait arriver que le dossier ne permette pas de déterminer pour quel motif l’exequatur est refusé. Comme rien n’empêche le créancier de renouveler sa requête, il s’agit bel et bien au final d’admettre qu’il suffit que le créancier rende vraisemblable qu’il est au bénéfice d’un jugement exécutoire, le rejet d’une requête d’exequatur constituant seulement un indice que tel n’est pas le cas (Stucki/Burrus, Les adaptations du droit du séquestre dans le cadre de la mise en œuvre de la Convention de Lugano de 2007, in SJ 2013 II pp. 65 ss., spéc. p. 72-73). En l’espèce, c'est donc à juste titre que le juge de paix a considéré que le rejet de la requête d’exequatur n’empêchait pas nécessairement la confirmation du séquestre. En l'occurrence d'ailleurs, la requête de séquestre étant fondée sur un jugement Lugano 1988, le juge aurait pu se contenter d'examiner incidemment la question de l'exequatur, mais la créancière avait formé une requête distincte en exequatur, estimant que la CL 2007 s'appliquait. Sur le fond, l'intimée a produit, avec sa requête de séquestre, une ordonnance sur incident du 22 juin 2009 d'un magistrat de la Cour d'appel de Paris ainsi qu'un jugement du 12 mars 2010 du Tribunal de grande instance de Paris. Ces deux documents attestent de la péremption de l'instance d'appel du jugement du 31 mai 2006. Or, selon l'art. 390 du Code de procédure civile français, la péremption en cause d'appel ou d'opposition confère au jugement la force de chose jugée, même s'il n'a pas été notifié. Au regard des pièces produites, S SA.________ a ainsi rendu vraisemblable qu'elle est au bénéfice d'un titre à la mainlevée définitive. b) Le recourant invoque la prescription de la créance. On peut comprendre qu’il fait valoir que le jugement ne serait plus "exécutoire". Selon l'art. L111-3 du code français des procédures civiles d'exécution, l'exécution des titres exécutoires mentionnés aux chiffres 1° à 3° - soit notamment les décisions des juridictions de l'ordre judiciaire lorsqu'elles ont force exécutoire – peut être poursuivie pendant dix ans. Cet argument du recourant ne permet donc pas de faire douter de l’existence vraisemblable d’un jugement exécutoire. V. Le recourant conteste l’existence de biens à séquestrer auprès de Y Sàrl.________ et du [...]. a) La vraisemblance de l’existence de biens appartenant au débiteur (art. 272 al. 1 ch. 3 LP) est l’un des points les plus sensibles des exigences mises à la charge du requérant. Le séquestre se distingue de la saisie par l’obligation faite au créancier de désigner les biens sur lesquels il entend faire porter la mesure. Or, il n’est pas toujours évident pour le requérant de connaître avec précision les actifs du débiteur (Jeandin, op. cit., p. 64 et la référence citée à la note infrapaginale n. 79). Ainsi, d’après la jurisprudence et la doctrine, on ne saurait se montrer trop exigeant à cet égard et l’on admet le séquestre générique, soit celui où les biens sont désignés par leur genre, pour autant que leur existence et leur appartenance au débiteur soient rendues vraisemblables (Stoffel/Chabloz, op. cit., n. 29 ad art. 272 LP; Jeandin, op. cit., p. 64 et les références citées à la note infrapaginale n. 80), et que soient fournies les indications relatives à leur localisation et, le cas échéant, à l'identité du tiers qui les détient (Gilliéron, Commentaire de la loi fédérale sur la poursuite pour dettes et la faillite, n. 32 ad art. 274 LP). Cela permet par exemple d'obtenir le séquestre sur des avoirs que l'on ne connaît pas précisément, mais dont on indique qu'ils sont déposés par le débiteur auprès de telle ou telle banque (Stoffel, Le séquestre, in Peter, Vallat et al., La LP révisée, Cedidac no 35, Lausanne 1997, p. 284 ; CPF, 25 novembre 2010/461). Dans le cas où le séquestre porte sur des créances à l'encontre de tiers, ceux-ci doivent obligatoirement être mentionnés (ATF 130 III 579, JT 2005 II 99; ATF 126 III 95, JT 2000 II 35). Afin d'éviter tout séquestre investigatoire, le requérant doit, entre autres, rendre vraisemblable le lieu où sont localisés les droits patrimoniaux à séquestrer du tiers débiteur ou détenteur (TF 5A_403/2008). S'agissant d'avoirs bancaires, le débiteur doit indiquer la banque concernée (Stoffel/Chabloz, Commentaire romand de la LP, n. 29-30 ad art. 272 LP). Il suffit que l'autorité, se fondant sur des éléments objectifs, acquière l'impression que les faits pertinents se sont produits, mais sans qu'elle doive exclure pour autant la possibilité qu'ils se soient déroulés autrement (Stoffel, Kommentar zum Bundesgesetz über Schuldbetreibung und Konkurs, III, 1998, n. 3 ad art. 272 LP; pour les mesures provisionnelles en général: ATF 104 Ia 408 c. 4a). Le point de savoir si le degré de vraisemblance requis par le droit fédéral est atteint dans le cas particulier ressortit à l'appréciation des preuves (ATF 130 III 321 c. 5). Dans ce domaine, le Tribunal fédéral reconnaît une ample latitude aux autorités cantonales (ATF 120 Ia 31 c. 4b). Il n'intervient, du chef de l'art. 9 Cst. (Constitution fédérale de la Confédération suisse du 18 avril 1999; RS 101),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(ATF 129 I 8 c. 2.1; ATF 127 I 38 c. 2a). En ce qui concerne le nouveau cas de séquestre de l’art. 271 al. 1 ch. 6 LP, Bovey (op. cit., p. 89) estime même qu’une allégation plausible et suffisamment motivée suffit en principe. b) En l’occurrence, il ressort des pièces produites à l’appui de la requête de séquestre que le débiteur est associé de Y.________ avec une part de 348'000 fr., que cette société possède un actif net de plus de 842'000 fr., et qu’en 2003 il en recevait un salaire important. La requérante n’a pas produit de pièces en relation avec le compte bancaire au [...] dont elle demande le séquestre. Elle a toutefois pu fournir le nom de la banque, le numéro du compte et de son titulaire. On ne saurait y voir un séquestre investigatoire. L'argument du recourant est ainsi mal fondé. VI. En conclusion, le recours doit être rejeté et le prononcé confirmé. Les frais de deuxième instance, arrêtés à 3'000 fr., sont mis à la charge du recourant qui succombe (art. 106 CPC). Ce dernier versera à l'intimée des dépens de deuxième instance, arrêtés à 7’500 fr. (art.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