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15 vom 7. September 2012</w:t>
      </w:r>
    </w:p>
    <w:p>
      <w:r>
        <w:t>VD Tribunal cantonal, 2012-09-07, FR</w:t>
      </w:r>
    </w:p>
    <w:p>
      <w:r>
        <w:rPr>
          <w:b/>
        </w:rPr>
        <w:t xml:space="preserve">Quelle: </w:t>
      </w:r>
      <w:r>
        <w:t>https://mcp.opencaselaw.ch/entscheid/vd_findinfo_S_questre___2012___15</w:t>
      </w:r>
    </w:p>
    <w:p>
      <w:r>
        <w:t>FR: VD_FINDINFO Séquestre / 2012 / 15 du 7 septembre 2012</w:t>
      </w:r>
    </w:p>
    <w:p>
      <w:r>
        <w:t>IT: VD_FINDINFO Séquestre / 2012 / 15 del 7 settembre 2012</w:t>
      </w:r>
    </w:p>
    <w:p>
      <w:pPr>
        <w:pStyle w:val="Heading2"/>
      </w:pPr>
      <w:r>
        <w:t>Regeste</w:t>
      </w:r>
    </w:p>
    <w:p>
      <w:r>
        <w:t>RÉQUISITION DE SÉQUESTRE, CAS DE SÉQUESTRE, PREUVE FACILITÉE, RESPONSABILITÉ DES ORGANES D'UNE SOCIÉTÉ, CRÉANCE | 754 al. 1 CO, 271 al. 1 ch. 2 LP, 271 al. 1 ch. 6 LP, 272 al. 1 LP</w:t>
      </w:r>
    </w:p>
    <w:p>
      <w:pPr>
        <w:pStyle w:val="Heading2"/>
      </w:pPr>
      <w:r>
        <w:t>Erwägungen</w:t>
      </w:r>
    </w:p>
    <w:p>
      <w:r>
        <w:rPr>
          <w:b/>
        </w:rPr>
        <w:t>E. 12</w:t>
      </w:r>
    </w:p>
    <w:p>
      <w:r>
        <w:t>avril 2012/115), la cour de céans a considéré que le séquestre pouvait également être requis sur la base d'une sentence arbitrale. En l'espèce, on peut donc admettre que la sentence arbitrale vaut titre de mainlevée définitive contre W.________Internacional et contre W.________SA – vu en plus, pour cette dernière, le jugement rendu le 4 octobre 2011 par le Tribunal civil de Genève –, mais pas contre A.K.________ personnellement, faute de pouvoir appliquer le principe de la transparence. III. Le recours doit ainsi être rejeté et le prononcé confirmé. Les frais judiciaires de deuxième instance, arrêtés à 3'000 fr., compensés avec l'avance de frais effectuée par les recourants, sont laissés à la charge de ceux-ci, solidairement entre eux. Il n'y a pas lieu de statuer sur la question des dépens de deuxième instance, dès lors qu'à ce stade de la procédure, comme en première instance, il n’y a pas de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