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2010 / 1 vom 23. März 2009</w:t>
      </w:r>
    </w:p>
    <w:p>
      <w:r>
        <w:t>VD Tribunal cantonal, 2009-03-23, FR</w:t>
      </w:r>
    </w:p>
    <w:p>
      <w:r>
        <w:rPr>
          <w:b/>
        </w:rPr>
        <w:t xml:space="preserve">Quelle: </w:t>
      </w:r>
      <w:r>
        <w:t>https://mcp.opencaselaw.ch/entscheid/vd_findinfo_S_questre___2010___1</w:t>
      </w:r>
    </w:p>
    <w:p>
      <w:r>
        <w:t>FR: VD_FINDINFO Séquestre / 2010 / 1 du 23 mars 2009</w:t>
      </w:r>
    </w:p>
    <w:p>
      <w:r>
        <w:t>IT: VD_FINDINFO Séquestre / 2010 / 1 del 23 marzo 2009</w:t>
      </w:r>
    </w:p>
    <w:p>
      <w:pPr>
        <w:pStyle w:val="Heading2"/>
      </w:pPr>
      <w:r>
        <w:t>Regeste</w:t>
      </w:r>
    </w:p>
    <w:p>
      <w:r>
        <w:t>SÉQUESTRE{LP}, SÛRETÉS | 273 al. 1 LP</w:t>
      </w:r>
    </w:p>
    <w:p>
      <w:pPr>
        <w:pStyle w:val="Heading2"/>
      </w:pPr>
      <w:r>
        <w:t>Erwägungen</w:t>
      </w:r>
    </w:p>
    <w:p>
      <w:r>
        <w:rPr>
          <w:b/>
        </w:rPr>
        <w:t>E. 26</w:t>
      </w:r>
    </w:p>
    <w:p>
      <w:r>
        <w:t>novembre 2009, consécutifs à la notification du prononcé motivé, et n'ont matériellement plus d'objet, sous réserve de l'effet suspensif qui a été accordé. Le recours porte sur le principe et le montant des sûretés auxquelles le juge de l'opposition au séquestre a astreint le créancier séquestrant (art. 273 LP - loi fédérale sur la poursuite pour dettes et la faillite; RS 281.1). Déposé en temps utile et comportant des conclusions en réforme valablement formulées (art. 278 al. 3 LP, 39a et 58 al. 1 LVLP - loi vaudoise d'application de la loi fédérale sur la poursuite pour dettes et la faillite; RSV 280.05 - et 461 ss CPC - Code de procédure civile; RSV 270.11), il est recevable. Le recours contre la décision du juge statuant sur une opposition au séquestre est dévolutif (Gilliéron, Commentaire de la loi fédérale sur la poursuite pour dettes et la faillite, n. 82 ad art. 278 LP). L'autorité de recours statue uniquement sous l'angle de la vraisemblance des conditions du séquestre (Reeb, Les mesures provisoires dans la procédure de poursuite, in RDS 1997 II 421, p. 482 et les auteurs cités à la note infrapaginale n. 393). Les parties peuvent alléguer des faits nouveaux (art. 278 al. 3 LP) pour autant qu'ils se soient produits postérieurement à la décision du juge sur l'opposition (art. 58 al. 8 LVLP). L'astreinte aux sûretés faisant partie intégrante de la décision rendue en procédure d'opposition au séquestre, c'est en effet l'art. 58 al. 8 LVLP qui régit la procédure de recours et non l'art. 61 al. 6 LVLP, qui proscrit l'administration de nouvelles preuves dans la procédure de recours contre une décision de révision du régime des sûretés, subséquente à celle de l'opposition au séquestre. Les allégations nouvelles contenues dans le mémoire de droit et les pièces nouvelles produites par le recourant en deuxième instance sont ainsi recevables dans la mesure où elles se rapportent à des faits postérieurs à la décision attaquée. II. a) En vertu de l'art. 273 al. 1 LP, le créancier répond du dommage qu'un séquestre injustifié peut causer tant au débiteur qu'aux tiers. Le juge peut l'astreindre à fournir des sûretés. La décision d'astreindre le créancier à fournir des sûretés relève de l'appréciation du juge. Celui-ci doit prendre en considération la vraisemblance de l'existence de la créance invoquée (ATF 113 III 94 c. 3c, JT 2000 II 22) et d'un cas de séquestre. Plus cette existence est établie, moins les sûretés se justifient. Ainsi, la fourniture de sûretés ne se justifie pas lorsque la créance repose sur un jugement exécutoire. A l'inverse, les cas de séquestre difficiles à établir, comme par exemple le risque de fuite (art. 271 al. 1 ch. 2 LP) ou le lien suffisant de la créance avec la Suisse (art. 271 al. 1 ch. 4 LP), plaident en faveur de l'astreinte à fournir des sûretés. Le paramètre de la décision d'exiger des sûretés et du calcul des sûretés exigées est le doute qui subsiste quant au bien-fondé des allégations du requérant relatives aux conditions du séquestre (Gilliéron, op. cit., n. 37 ad art. 273 LP). Le montant des sûretés est fonction du dommage possible. Il se calcule en fonction du dommage éventuel causé par le séquestre, ce qui impose de savoir si le séquestre a porté et de connaître le cas échéant le montant effectivement séquestré (ATF 126 III 95, JT 2000 II 35 c. 5). Les intérêts du créancier doivent également être pris en compte, au même titre que ceux du débiteur. Lorsque les conditions du séquestre sont établies, le créancier a un droit à obtenir cette mesure. Ce droit ne doit pas être rendu illusoire par l'astreinte à fournir des sûretés excessives (Stoffel/Chabloz, Commentaire romand, nn. 22 ss ad art. 273 LP). Le montant des sûretés doit être adapté en cours de procédure. C'est la situation qui prévaut au moment de la nouvelle décision qui est décisive et non celle qui avait cours lors de l'autorisation du séquestre ou qui était connue à ce moment-là (ibid., n. 26 ad art. 273 LP et réf. cit.). S'agissant de l'opportunité de fournir des sûretés, l'autorité du séquestre apprécie librement les circonstances y relatives, sous la seule réserve de l'interdiction de l'arbitraire. En règle générale, la décision attaquée ne sera cassée que si le montant des sûretés excède toute mesure raisonnable. Un arrêt rendu le 21 février 2005 par le Tribunal fédéral (TF 5P.353/2004) résume ainsi les conditions d'application de l'art. 273 LP : "Aux termes de l'art. 273 al. 1 LP, le créancier répond du dommage qu'un séquestre injustifié peut causer tant au débiteur qu'aux tiers; le juge peut l'astreindre à fournir des sûretés, dont les conditions et le contenu sont réglés par le droit fédéral (ATF 112 III 112 consid. 2a). L'autorité apprécie librement s'il y a lieu d'imposer des sûretés ou de les augmenter, sous la seule réserve de l'interdiction de l'arbitraire (SJ 1987 p. 586, consid. 4 non publié aux ATF 113 III 94 ; ATF 112 III 112 consid. 2c; Gilliéron, Commentaire de la loi fédérale sur la poursuite pour dettes et la faillite, 2003, n. 27 ad art. 273 LP; Stoffel, Kommentar zum Bundesgesetz über Schuldbetreibung und Konkurs, 1998, n. 20 ad art. 273 LP). Le juge du séquestre astreindra le créancier à fournir des sûretés lorsque la créance ou le cas de séquestre sont douteux (ATF 112 III 112 consid. 2a), autrement dit lorsqu'il ne peut pas exclure que les faits qu'il a retenus au stade de la vraisemblance soient autres ou qu'un examen approfondi conduise à une autre solution juridique que celle dictée par un examen sommaire (Gilliéron, op. cit., n. 27 et 37 ad art. 273 LP). Il s'ensuit qu'il n'y aura normalement pas lieu d'imposer la prestation de sûretés lorsque le créancier peut se fonder sur un jugement exécutoire (Stoffel, op. cit., n. 21 ad art. 273 LP). Les sûretés prévues à l'art. 273 al. 1 LP sont destinées à garantir la prétention en dommages-intérêts du débiteur séquestré, laquelle découle de l'indisponibilité frappant ses droits patrimoniaux (ATF 113 III consid. 9, 10a et 11a). Leur montant dépend donc du dommage éventuel dont est menacé le débiteur en cas de séquestre injustifié (ATF 113 III 94 consid. 12; 93 I 278 consid. 5b et les arrêts cités; Gilliéron, op. cit., n. 36 ad art. 273 LP; Stoffel, op. cit., n. 22 ad art. 273 LP). Parmi les éléments pertinents pour apprécier ce dommage éventuel figurent la durée prévisible du procès en validation de séquestre ainsi que les intérêts des emprunts que le débiteur peut devoir contracter pour pallier la privation de ses avoirs (ATF 113 III 94 consid. 11a et 11b). Selon la doctrine, un montant équivalent à deux années d'intérêt (10 %) devrait souvent se révéler justifié (Stoffel, op. cit., n. 24 ad art. 273 LP et la référence citée). Le dommage dont les sûretés visent à garantir la réparation comprend en outre les frais exposés dans les procédures de validation du séquestre et d'opposition à l'ordonnance de séquestre (113 III 94 consid. 9b et 9c et les références citées; Gilliéron, op. cit., n. 36 ad art. 273 LP; Stoffel, op. cit., n. 22 ad art. 273 LP et les références citées)." b) En l'espèce, le premier juge a considéré que, compte tenu de l'existence douteuse des cas de séquestre, il se justifiait d'exiger des sûretés du créancier, fixées à 15 % du montant séquestré. aa) Quant à la créance, le premier a juge a considéré que son montant et son exigibilité n'étaient pas contestés par l'opposant au séquestre. Le recourant en déduit que le juge des sûretés n'aurait pas à examiner le principe de celles-ci en fonction de la vraisemblance de la créance. Il perd cependant de vue, d'une part, que l'intimé, dans son opposition au séquestre, a expressément conclu à ce que le séquestrant soit astreint à des sûretés, d'autre part, qu'il a expressément contesté l'existence de la créance en ouvrant action en libération de dette devant la Cour civile du Tribunal cantonal le 22 avril 2003 (procès [...] ) et, de troisième part, que le juge apprécie librement la question de la nécessité des sûretés. La créance dont se prévaut le recourant ne repose ni sur un jugement, ce qui constituerait vraisemblablement un cas de dispense de sûretés, ni même sur une reconnaissance de dette valant titre de mainlevée provisoire. Cette créance fait l'objet du procès précité, opposant l'intimé et une société anonyme au recourant. A la suite de la faillite de la société anonyme le 11 décembre 2008, ce procès a été suspendu. L'imprécision du titre central dont se prévaut le recourant, soit une lettre du 27 août 2002 signée par les deux parties et comportant un engagement de "servir des honoraires de transaction représentant 5 % du rachat des titres ou des sociétés, ou encore, des locaux industriels, terrains ou immeubles dans le dossier visé en marge", alors que ladite marge ne mentionne aucun dossier et que la société anonyme, et non pas l'intimé personnellement, a procédé aux rachats de divers paquets d'actions, chaque fois pour un franc symbolique, laisse subsister de nombreuses interrogations. Il en résulte que l'issue de ce procès, outre qu'elle dépendra du résultat imprévisible de l'administration et de l'appréciation des preuves, est pour le moins incertaine, les questions de la détermination des parties au contrat de courtage allégué, de la ou des prestations du courtier et du calcul de sa rémunération étant disputées et ne pouvant être tranchées que par un jugement au fond. Le juge du séquestre n'ayant pas à se substituer au juge du fond, il suffit de constater en l'espèce que l'existence - et, le cas échéant, le montant de la créance - comporte d'importantes parts d'incertitude, donc qu'elle est douteuse, ce qui suffit à justifier le principe de la fourniture de sûretés. Il n'est donc pas nécessaire d'examiner par surabondance si le degré réduit de la vraisemblance des cas de séquestre justifie également d'imposer au recourant de constituer des sûretés. bb) En ce qui concerne le montant des sûretés, le premier juge s'est référé à un pourcentage du montant séquestré, c'est-à-dire du capital approximatif de la créance garantie par le séquestre, soit 15 % de 200'000 francs. Il faut en effet se fonder sur le résultat du séquestre. Celui-ci a porté sur 388'192 fr. 40. Le montant arrondi de la créance en capital est de 230'000 fr., mais si on y ajoute un intérêt à 5 % l'an courant durant sept ans, du 16 mars 2003 au 16 mars 2010, soit 80'500 fr., on obtient un montant total de 310'500 francs. En appliquant à ce dernier montant le taux de 10 %, préconisé par la doctrine (Stoffel, op. cit. n° 24 ad art, 273 LP et les références citées), soit deux fois l'intérêt annuel que produiraient les biens séquestrés, on parvient à des sûretés d'un montant légèrement supérieur à 30'000 francs. Il s'ensuit que la fixation des sûretés à 30'000 fr. par le premier juge doit être approuvée. c) Le recourant fait valoir qu'un séquestre pénal est opérant sur les mêmes avoirs bancaires et donc que le séquestre civil ne génèrerait aucun dommage en raison de cette indisponibilité préexistante frappant les droits patrimoniaux. Selon lui, le séquestre pénal aurait pour effet de supprimer tout rapport de causalité entre le séquestre civil et un dommage résultant pour le débiteur de la privation de disposer de ses biens. Il est exact que "tous avoirs sur comptes [...] au nom de U.________" en mains de [...], banquiers à Lausanne, ont fait l'objet d'un séquestre ordonné le 13 octobre 2003 par le Juge d'instruction du canton de Vaud. Le séquestre civil se superpose donc au séquestre pénal toujours en cours, celui-ci primant celui-là (Rigot, Commentaire romand, n. 16 ad art. 45 LP). Cela soulève la question du principe et du montant des sûretés en fonction du dommage prévisible lorsque plusieurs séquestres, le cas échéant de rangs distincts, bloquent les mêmes biens. Selon les principes généraux de l'art. 53 CO, le juge civil n'est pas lié par les décisions du juge pénal. Partant, les conditions d'un séquestre civil ne sauraient dépendre du sort d'un séquestre pénal sur les mêmes biens. En d'autres termes, au vu de l'indépendance des deux types de séquestre, l'indisponibilité pénale des biens ne saurait ipso facto supprimer tout risque de dommage lié au séquestre civil. En l'état, on ignore ce qu'il va advenir des biens séquestrés au pénal. Si un jugement pénal concernant notamment l'intimé a été rendu au printemps 2009, il ne serait toutefois pas définitif, de sorte que la levée du séquestre (art. 371 CPP - Code de procédure pénale; RSV 312.01) n'est pas encore intervenue. Or, celle-ci pourrait déboucher sur une confiscation ou sur une restitution aux lésés des biens séquestrés comme produits d'infractions ou encore sur une restitution à leur détenteur. Dans ce dernier cas, l'indisponibilité patrimoniale générée par le séquestre pénal serait levée mais le séquestre civil déploierait alors encore ses effets, notamment l'impossibilité qui en résulte pour l'intimé de disposer des biens séquestrés. Il se justifie donc de garantir par des sûretés le risque du dommage résultant d'un séquestre infondé. III. Le recours doit ainsi être rejeté et le prononcé confirmé, sous réserve du chiffre III de son dispositif : le délai imparti pour constituer les sûretés requises, déjà prolongé à deux reprises par le premier juge et suspendu dans le cadre du présent recours, doit être prolongé. On ne saurait cependant faire droit à la conclusion subsidiaire du recourant tendant à ce que lui soit accordée une prolongation de quinze jours à compter de celui où l'arrêt de la cour de céans sera définitif, ce qui reviendrait à prolonger l'effet suspensif du recours cantonal à la durée d'un éventuel recours au Tribunal fédéral. Il y a lieu de prolonger le délai imparti au recourant pour fournir les sûretés jusqu'à l'échéance d'un délai de quinze jours à compter de la notification du présent arrêt. Les frais de deuxième instance du recourant sont arrêtés à 570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