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2010 / 9 vom 19. November 2010</w:t>
      </w:r>
    </w:p>
    <w:p>
      <w:r>
        <w:t>VD Tribunal cantonal, 2010-11-19, FR</w:t>
      </w:r>
    </w:p>
    <w:p>
      <w:r>
        <w:rPr>
          <w:b/>
        </w:rPr>
        <w:t xml:space="preserve">Quelle: </w:t>
      </w:r>
      <w:r>
        <w:t>https://mcp.opencaselaw.ch/entscheid/vd_findinfo_R_v-p_nale___2010___9</w:t>
      </w:r>
    </w:p>
    <w:p>
      <w:r>
        <w:t>FR: VD_FINDINFO Rév-pénale / 2010 / 9 du 19 novembre 2010</w:t>
      </w:r>
    </w:p>
    <w:p>
      <w:r>
        <w:t>IT: VD_FINDINFO Rév-pénale / 2010 / 9 del 19 novembre 2010</w:t>
      </w:r>
    </w:p>
    <w:p>
      <w:pPr>
        <w:pStyle w:val="Heading2"/>
      </w:pPr>
      <w:r>
        <w:t>Regeste</w:t>
      </w:r>
    </w:p>
    <w:p>
      <w:r>
        <w:t>DEMANDE ADRESSÉE À L'AUTORITÉ, RÉVISION{DÉCISION} | 385 CP, 455 CPP</w:t>
      </w:r>
    </w:p>
    <w:p>
      <w:pPr>
        <w:pStyle w:val="Heading2"/>
      </w:pPr>
      <w:r>
        <w:t>Erwägungen</w:t>
      </w:r>
    </w:p>
    <w:p>
      <w:r>
        <w:rPr>
          <w:b/>
        </w:rPr>
        <w:t>E. 4</w:t>
      </w:r>
    </w:p>
    <w:p>
      <w:r>
        <w:t>La requête de révision doit dès lors être rejetée. Les frais de la cause seront supportés par le requérant (art. 464 CPP). Par ces motifs, la Chambre des révisions civiles et pénales, statuant à huis clos, prononce : I. La demande de révision présentée par V.________ est rejetée. II. Les frais d’arrêt, par 910 fr. (neuf cent dix francs), sont mis à la charge du requérant V.________. III. L'arrêt est exécutoire. Le président :              Le greffier : Du L'arrêt qui précède, dont la rédaction a été approuvée à huis clos, est notifié à : ‑ Me François Besse, avocat (pour V.________), - Me Alain Thévenaz, avocat (pour [...] et [...]), ‑ M. le Procureur général du canton de Vaud, et communiqué à : ‑ M. le Président du Tribunal de police de l'arrondissement de l'Est vaudois,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