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Rév-civile / 2009 / 1 vom 15. Juli 2009</w:t>
      </w:r>
    </w:p>
    <w:p>
      <w:r>
        <w:t>VD Tribunal cantonal, 2009-07-15, FR</w:t>
      </w:r>
    </w:p>
    <w:p>
      <w:r>
        <w:rPr>
          <w:b/>
        </w:rPr>
        <w:t xml:space="preserve">Quelle: </w:t>
      </w:r>
      <w:r>
        <w:t>https://mcp.opencaselaw.ch/entscheid/vd_findinfo_R_v-civile___2009___1</w:t>
      </w:r>
    </w:p>
    <w:p>
      <w:r>
        <w:t>FR: VD_FINDINFO Rév-civile / 2009 / 1 du 15 juillet 2009</w:t>
      </w:r>
    </w:p>
    <w:p>
      <w:r>
        <w:t>IT: VD_FINDINFO Rév-civile / 2009 / 1 del 15 luglio 2009</w:t>
      </w:r>
    </w:p>
    <w:p>
      <w:pPr>
        <w:pStyle w:val="Heading2"/>
      </w:pPr>
      <w:r>
        <w:t>Regeste</w:t>
      </w:r>
    </w:p>
    <w:p>
      <w:r>
        <w:t>RÉVISION{DÉCISION}, MOTIF DE RÉVISION, CRAINTE FONDÉE, VICE DU CONSENTEMENT, RÉSISTANCE | 148 al. 2 CC, 29 CO, 30 CO, 31 al. 2 CO, 31 CO, 476 al. 1 ch. 3 CPC, 476 CPC, 477 al. 1 CPC, 478 al. 1 CPC, 479 CPC</w:t>
      </w:r>
    </w:p>
    <w:p>
      <w:pPr>
        <w:pStyle w:val="Heading2"/>
      </w:pPr>
      <w:r>
        <w:t>Erwägungen</w:t>
      </w:r>
    </w:p>
    <w:p>
      <w:r>
        <w:rPr>
          <w:b/>
        </w:rPr>
        <w:t>E. 1</w:t>
      </w:r>
    </w:p>
    <w:p>
      <w:r>
        <w:t>a) Aux termes de l'art. 478 al. 1 CPC (Code de procédure civile du 14 décembre 1966; RSV 270.11), la demande de révision, accompagnée des pièces justificatives, doit être adressée par écrit au Tribunal cantonal. Selon la jurisprudence, elle doit contenir des conclusions précises, être fondée sur l'un ou l'autre des motifs légaux de l'art. 476 CPC et être accompagnée des pièces justificatives, faute de quoi elle doit être écartée préjudiciellement (JT 2002 III 15; JT 1965 III 31; Poudret/Haldy/Tappy, Procédure civile vaudoise,</w:t>
      </w:r>
    </w:p>
    <w:p>
      <w:r>
        <w:rPr>
          <w:b/>
        </w:rPr>
        <w:t>E. 3</w:t>
      </w:r>
    </w:p>
    <w:p>
      <w:r>
        <w:t>En conclusion, la demande de révision doit être rejetée. Les frais de la procédure de révision sont arrêtés à 2'000 fr. à la charge de la requérante (art. 232 et 250 TFJC [Tarif des frais judiciaires en matière civile du 4 décembre 1984; RSV 270.11.5]). Obtenant gain de cause, l'intimé a droit à des dépens de la procédure de révision, fixés à 2'000 fr. (art. 2 al. 1 ch. 35, art. 3, 4 al. 2 et 5 TAv [Tarif du 17 juin 1986 des honoraires d'avocat dus à titre de dépens; RSV 177.11.3]). Par ces motifs, la Chambre des révisions civiles et pénales, statuant à huis clos, prononce : I. La demande de révision présentée par A.R.________ est rejetée. II. Les frais d'arrêt à la charge de la requérante sont fixés à 2'000 fr. (deux mille francs). III. La requérante A.R.________ versera à l'intimé B.R.________ la somme de 2'000 fr. (deux mille francs) à titre de dépens. IV. L'arrêt est exécutoire. L e président : L a greffi ère : Du L'arrêt qui précède, dont la rédaction a été approuvée à huis clos, est notifié à : ‑      Me David Regamey (pour A.R.________), ‑      Me Eric Kaltenrieder (pour B.R.________). La Chambre des révisions civiles et pénales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Mme le Président du Tribunal civil de l'arrondissement de Lausanne. Il prend date de ce jour.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