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2018 / 6 vom 4. Dezember 2018</w:t>
      </w:r>
    </w:p>
    <w:p>
      <w:r>
        <w:t>VD Tribunal cantonal, 2018-12-04, FR</w:t>
      </w:r>
    </w:p>
    <w:p>
      <w:r>
        <w:rPr>
          <w:b/>
        </w:rPr>
        <w:t xml:space="preserve">Quelle: </w:t>
      </w:r>
      <w:r>
        <w:t>https://mcp.opencaselaw.ch/entscheid/vd_findinfo_R_c-administrative___2018___6</w:t>
      </w:r>
    </w:p>
    <w:p>
      <w:r>
        <w:t>FR: VD_FINDINFO Réc-administrative / 2018 / 6 du 4 décembre 2018</w:t>
      </w:r>
    </w:p>
    <w:p>
      <w:r>
        <w:t>IT: VD_FINDINFO Réc-administrative / 2018 / 6 del 4 dicembre 2018</w:t>
      </w:r>
    </w:p>
    <w:p>
      <w:pPr>
        <w:pStyle w:val="Heading2"/>
      </w:pPr>
      <w:r>
        <w:t>Regeste</w:t>
      </w:r>
    </w:p>
    <w:p>
      <w:r>
        <w:t>RÉCUSATION | 11 al. 3 LPA-VD, 9 let. e LPA-VD</w:t>
      </w:r>
    </w:p>
    <w:p>
      <w:pPr>
        <w:pStyle w:val="Heading2"/>
      </w:pPr>
      <w:r>
        <w:t>Volltext</w:t>
      </w:r>
    </w:p>
    <w:p>
      <w:r>
        <w:t>Vaud Tribunal cantonal Cour d'appel civile 29.11.2018 Réc-administrative / 2018 / 6</w:t>
      </w:r>
    </w:p>
    <w:p>
      <w:r>
        <w:t>RÉCUSATION | 11 al. 3 LPA-VD, 9 let. e LPA-VD</w:t>
      </w:r>
    </w:p>
    <w:p>
      <w:r>
        <w:t>TRIBUNAL CANTONAL AC.2018.0388 55 COUR ADMINISTRATIVE ______________________________ RECUSATION ADMINISTRATIVE Séance du 4 décembre 2018 __________________ Présidence de               M. Kaltenrieder , président Juges :              M. Hack et Mme Revey Greffière :              Mme Spitz ***** Art. 9 let. e et 11 al. 3 LPA-VD Vu le recours déposé auprès de la Cour de droit administratif et public du Tribunal cantonal (ci-après : CDAP) le 1 er octobre 2018 par l’ U.________ (ci-après : l’Association) agissant en son nom et au nom de la P.________ (ci-après : la Fondation) contre la décision rendue par la MUNICIPALITE DE K.________ (ci-après: la Municipalité) le 6 avril 2018, par laquelle cette dernière a délivré à C.________ l’autorisation requise s’agissant des travaux envisagés au T.________, tels que présentés, conformément aux plans qu’elle lui avait remis, vu le dossier de cette cause, instruite par le juge cantonal W.________, vu la demande de récusation de ce magistrat présentée par la Fondation et l’Association (ci-après : les requérantes) le 12 novembre 2018, par l’intermédiaire de leur conseil commun, vu le courrier du 13 novembre 2018 par lequel le magistrat précité s’est déterminé sur la demande de récusation et a transmis le dossier de la cause à la Cour de céans, vu la motivation complémentaire du conseil des requérantes du 26 novembre 2018, vu les déterminations du 28 novembre 2018, par lesquelles le juge instructeur susmentionné a indiqué que, compte tenu du procédé utilisé par le conseil des requérantes, il serait vain de réfuter les allégations inexactes de sa part, de discuter de la conduite de l’instruction par ses soins dans les affaires pendantes ou déjà liquidées, ou encore d’insister sur l’absence d’inimitié personnelle dans son for intérieur, et a demandé à la Cour de céans de prendre acte qu’au vu des circonstances il renonçait à traiter en qualité de juge instructeur la cause AC.2018.0388 et ne participerait pas d’une autre manière au jugement dans cette affaire, position qui devrait rendre sans objet la demande de récusation et devrait permettre un traitement diligent du recours, vu le courrier du 29 novembre 2018 par lequel C.________ indique renoncer à se déterminer sur la demande de récusation, vu le courrier du 3 décembre 2018 par lequel la Municipalité de K.________ a également indiqué renoncer à se déterminer sur la demande de récusation, vu les pièces au dossier ; attendu que le recours déposé par la Fondation et l’U.________ le 1 er octobre 2018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12 novembre 2018 à l'encontre du juge cantonal W.________, qu'en outre, la demande est déposée en temps utile au sens de l'art. 10 al. 2 LPA-VD; qu’elle satisfait en outre aux exigences de forme, qu’elle est dès lors recevable, attendu que, selon l'art. 9 LPA-VD, toute personne appelée à rendre ou à préparer une décision ou un jugement doit notamment se récuser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 ATF 131 I 24 c. 1.1),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pas au juge de la récusation d'examiner la conduite du procès à la façon d'un organe de surveillance (TF 4A_323/2010 du 3 août 2010 c. 2.2),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qu’en l’espèce, les requérantes se prévalent d’une apparence de prévention à leur égard, respectivement à l’égard de leur conseil, et font valoir non seulement un certain nombre de griefs liés à la procédure en cours, ainsi qu’à des procédures antérieures, mais également l’existence d’un conflit personnel qui serait intervenu entre leur conseil et le magistrat instructeur, dont elles ont fait part de manière particulièrement détaillée au vu du contexte qu’il concerne, que l’apparence d’inimitié n’apparaît pas d’emblée acquise, que, quoi qu’il en soit, la question peut demeurer indécise compte tenu du conflit personnel allégué entre le magistrat instructeur et le conseil d’une des parties, respectivement l’associé de celui-ci, que, bien qu’il ait contesté l’existence d’une quelconque inimitié personnelle à l’encontre du conseil des requérantes, le juge instructeur a requis, compte tenu de l’ensemble des circonstances, d’être dessaisi du dossier de la cause, que, par conséquent, il se justifie d’admettre la demande de récusation sans examiner plus avant les motifs invoqués, ce d’autant plus que les autres parties à la procédure au fond ne s’y sont pas opposées, qu’il convient dès lors de renvoyer la cause, dans l’état où elle se trouve, au Président de la [...] Cour de droit administratif et public du Tribunal cantonal ( [...]) pour attribution à un autre juge instructeur rattaché à cette section, attendu que les frais du présent arrêt, par 500 fr. (art. 4 al. 1 TFJAP [Tarif du 11 décembre 2007 des frais judiciaires en matière de droit administratif et public; RSV 173.36.5.1]), peuvent être exceptionnellement laissés à la charge de l’Etat, que les dépens de la présente procédure de récusation suivront le sort de la cause au fond ; Par ces motifs, la Cour administrative du Tribunal cantonal, statuant à huis clos prononce : I. La demande de récusation du Juge cantonal W.________ présentée par la P.________ et l’U.________ le 12 novembre 2018 est admise. II. La cause est renvoyée, dans l’état où elle se trouve, au Président de la [...] Cour de droit administratif et public du Tribunal cantonal ( [...]) pour attribution à un autre juge instructeur rattaché à cette section. III. Les frais du présent arrêt, par 500 fr. (cinq cents francs), sont laissés à la charge de l’Etat. IV. Les dépens de la présente procédure de récusation suivront le sort de la cause au fond. V. Le présent arrêt est exécutoire. Le président :               La greffière : Du Une copie complète de l’arrêt qui précède, dont la rédaction a été approuvée à huis clos, est notifiée, par efax et par courrier postal, à : - la P.________ et l’U.________, par l'intermédiaire de leur conseil commun, Me Jean-Claude Perroud, avocat à Lausanne ; - M. le Juge cantonal W.________, Cour de droit administratif et public ; et communiqué par l'envoi de photocopies à : - la Municipalité de K.________, par l’intermédiaire de son conseil, Me Laurent Schuler, avocat à Lausanne ; - C.________, par l’intermédiaire de son conseil, Me Ema Bolomey, avocate à Lausanne ; - M. [...], Président de la [...] Cour de droit administratif et public du Tribunal cantonal, avec le dossier de la cause au f ond.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