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 vom 16. Januar 2015</w:t>
      </w:r>
    </w:p>
    <w:p>
      <w:r>
        <w:t>VD Tribunal cantonal, 2015-01-16, FR</w:t>
      </w:r>
    </w:p>
    <w:p>
      <w:r>
        <w:rPr>
          <w:b/>
        </w:rPr>
        <w:t xml:space="preserve">Quelle: </w:t>
      </w:r>
      <w:r>
        <w:t>https://mcp.opencaselaw.ch/entscheid/vd_findinfo_Pron___2015___2</w:t>
      </w:r>
    </w:p>
    <w:p>
      <w:r>
        <w:t>FR: VD_FINDINFO Pron / 2015 / 2 du 16 janvier 2015</w:t>
      </w:r>
    </w:p>
    <w:p>
      <w:r>
        <w:t>IT: VD_FINDINFO Pron / 2015 / 2 del 16 gennaio 2015</w:t>
      </w:r>
    </w:p>
    <w:p>
      <w:pPr>
        <w:pStyle w:val="Heading2"/>
      </w:pPr>
      <w:r>
        <w:t>Regeste</w:t>
      </w:r>
    </w:p>
    <w:p>
      <w:r>
        <w:t>DÉCISION D'IRRECEVABILITÉ, INTÉRÊT DIGNE DE PROTECTION, MOTIVATION DE LA DEMANDE | 59 al. 2 let. a CPC (CH)</w:t>
      </w:r>
    </w:p>
    <w:p>
      <w:pPr>
        <w:pStyle w:val="Heading2"/>
      </w:pPr>
      <w:r>
        <w:t>Volltext</w:t>
      </w:r>
    </w:p>
    <w:p>
      <w:r>
        <w:t>Vaud Tribunal cantonal Chambre des curatelles 16.01.2015 Pron / 2015 / 2</w:t>
      </w:r>
    </w:p>
    <w:p>
      <w:r>
        <w:t>DÉCISION D'IRRECEVABILITÉ, INTÉRÊT DIGNE DE PROTECTION, MOTIVATION DE LA DEMANDE | 59 al. 2 let. a CPC (CH)</w:t>
      </w:r>
    </w:p>
    <w:p>
      <w:r>
        <w:t>TRIBUNAL CANTONAL QE10.033031-150060 15 LA CHAMBRE DES CUratelles ________________________________________ Arrêt du 16 janvier 2015 __________________ Présidence de               Mme Kühnlein , présidente Juges :              M. Colombini et Mme Courbat Greffière :              Mme Bourckholzer ***** Art. 59 al. 2 let. a CPC Vu la décision du 11 décembre 2014, adressée pour notification aux parties le 16 décembre 2014, par laquelle la Justice de paix du district de Lausanne (ci-après : justice de paix) a notamment désigné R.________ en qualité de curatrice de V.________ , née le [...] 1970, dans le cadre de la curatelle de portée générale instituée en faveur de celle-ci en vertu de l’art. 398 CC (Code civil suisse du 10 décembre 1907, RS 210) (II), défini les tâches de la curatrice (III) et privé d’effet suspensif tout recours éventuel contre la décision (V), vu le recours interjeté le 10 janvier 2015 par V.________ contre cette décision, vu les pièces au dossier; attendu que l’existence d’un intérêt digne de protection de la partie recourante est une condition de recevabilité de tout recours (art. 59 al. 2 let. a CPC [Code de procédure civile du 19 décembre 2008, RS 272], applicable par renvoi des art. 450f CC et 12 al. 1 LVPAE [loi du 29 mai 2012 d'application du droit fédéral de la protection de l'adulte et de l'enfant, RSV 211.255] ; Bohnet, CPC commenté, Bâle 2011, nn. 88 ss ad art. 59 CPC, pp. 174-175, et la jurisprudence citée), qu'une personne qui fait valoir une prétention doit démontrer qu'elle a un intérêt digne de protection à voir le juge statuer sur sa demande (Bohnet, op. cit., n. 89 ad art. 59 CPC, p. 174), que l'absence d'un tel intérêt – qui doit être constatée d'office (art. 60 CPC) – entraîne l'irrecevabilité du recours, qu’en l’espèce, la décision entreprise a pour objet le changement d’un curateur, que, dans son recours, V.________ ne conteste pas la personne de la curatrice qui a été nommée pour la représenter ni le dispositif de la décision rendu, mais remet uniquement en cause le principe de la curatelle qui a été prononcée en sa faveur, que ce point ne fait pas partie de l’objet de la décision attaquée, que faute d’intérêt digne de protection, le recours de V.________ doit par conséquent être déclaré irrecevable, que, néanmoins, il appartiendra à l’autorité de protection désignée de traiter l’écriture déposée par la recourante comme une requête de levée de la curatelle;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La présidente :               La greffière : Du L'arrêt qui précède, dont la rédaction a été approuvée à huis clos, est notifié à : ‑ V.________, ‑ R.________,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