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12 vom 5. Mai 2015</w:t>
      </w:r>
    </w:p>
    <w:p>
      <w:r>
        <w:t>VD Tribunal cantonal, 2015-05-05, FR</w:t>
      </w:r>
    </w:p>
    <w:p>
      <w:r>
        <w:rPr>
          <w:b/>
        </w:rPr>
        <w:t xml:space="preserve">Quelle: </w:t>
      </w:r>
      <w:r>
        <w:t>https://mcp.opencaselaw.ch/entscheid/vd_findinfo_Pron___2015___12</w:t>
      </w:r>
    </w:p>
    <w:p>
      <w:r>
        <w:t>FR: VD_FINDINFO Pron / 2015 / 12 du 5 mai 2015</w:t>
      </w:r>
    </w:p>
    <w:p>
      <w:r>
        <w:t>IT: VD_FINDINFO Pron / 2015 / 12 del 5 maggio 2015</w:t>
      </w:r>
    </w:p>
    <w:p>
      <w:pPr>
        <w:pStyle w:val="Heading2"/>
      </w:pPr>
      <w:r>
        <w:t>Regeste</w:t>
      </w:r>
    </w:p>
    <w:p>
      <w:r>
        <w:t>RADIATION DU RÔLE | 450 CC, 450d al. 2 CC, 242 CPC (CH)</w:t>
      </w:r>
    </w:p>
    <w:p>
      <w:pPr>
        <w:pStyle w:val="Heading2"/>
      </w:pPr>
      <w:r>
        <w:t>Erwägungen</w:t>
      </w:r>
    </w:p>
    <w:p>
      <w:r>
        <w:rPr>
          <w:b/>
        </w:rPr>
        <w:t>E. 19</w:t>
      </w:r>
    </w:p>
    <w:p>
      <w:r>
        <w:t>décembre 2008 ; RS 272]), que l’arrêt peut être rendu sans frais judiciaires (art. 74a al. 4 TFJC [Tarif du 28 septembre 2010 des frais judiciaires civils, RSV 270.11.5]). Par ces motifs, le Juge délégué, de la Chambre des curatelles du Tribunal cantonal, statuant à huis clos, prononce : I. Le recours est sans objet. II. La cause est rayée du rôle. III. L’arrêt, rendu sans frais judiciaires, est exécutoire. Le juge délégué : Le greffier : Du L'arrêt qui précède, dont la rédaction a été approuvée à huis clos, est notifié à : ‑ Me Valentin Marmillod (pour K.________), - M. Samuel Zufferey, - Mme Anne Dessous l’Eglise,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