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46 vom 28. Juli 2014</w:t>
      </w:r>
    </w:p>
    <w:p>
      <w:r>
        <w:t>VD Tribunal cantonal, 2014-07-28, FR</w:t>
      </w:r>
    </w:p>
    <w:p>
      <w:r>
        <w:rPr>
          <w:b/>
        </w:rPr>
        <w:t xml:space="preserve">Quelle: </w:t>
      </w:r>
      <w:r>
        <w:t>https://mcp.opencaselaw.ch/entscheid/vd_findinfo_Pron___2014___46</w:t>
      </w:r>
    </w:p>
    <w:p>
      <w:r>
        <w:t>FR: VD_FINDINFO Pron / 2014 / 46 du 28 juillet 2014</w:t>
      </w:r>
    </w:p>
    <w:p>
      <w:r>
        <w:t>IT: VD_FINDINFO Pron / 2014 / 46 del 28 luglio 2014</w:t>
      </w:r>
    </w:p>
    <w:p>
      <w:pPr>
        <w:pStyle w:val="Heading2"/>
      </w:pPr>
      <w:r>
        <w:t>Regeste</w:t>
      </w:r>
    </w:p>
    <w:p>
      <w:r>
        <w:t>INADVERTANCE MANIFESTE, DISPOSITIF | 334 al. 1 CPC (CH)</w:t>
      </w:r>
    </w:p>
    <w:p>
      <w:pPr>
        <w:pStyle w:val="Heading2"/>
      </w:pPr>
      <w:r>
        <w:t>Volltext</w:t>
      </w:r>
    </w:p>
    <w:p>
      <w:r>
        <w:t>Vaud Tribunal cantonal Cour d'appel civile 28.07.2014 Pron / 2014 / 46</w:t>
      </w:r>
    </w:p>
    <w:p>
      <w:r>
        <w:t>INADVERTANCE MANIFESTE, DISPOSITIF | 334 al. 1 CPC (CH)</w:t>
      </w:r>
    </w:p>
    <w:p>
      <w:r>
        <w:t>TRIBUNAL CANTONAL JS13.038721-140014 397 JUGE DELEGUE DE LA cour d’appel CIVILE __________________________________________________________ Arrêt du 28 juillet 2014 __________________ Présidence de               M. Winzap , juge délégué Greffier : Mme              Choukroun ***** Art. 334 CPC Vu l'arrêt rendu le 16 juin 2014, notifié aux parties le 24 juillet 2014, par le Juge délégué de la Cour d’appel civile dans la cause divisant A.E.________ , née [...] , à Trey, d’avec B.E.________ , à Trey, mentionnant au chiffre II de son dispositif que B.E.________ est astreint à contribuer à l’entretien de A.E.________, née ...][...], par le versement d’une pension mensuelle de 3'220 fr., payable d’avance le premier de chaque mois en mains de A.E.________, née ...][...], dès le 1 er avril 2013, sous déduction des montants déjà versés à ce jour, vu les considérants de cet arrêt selon lesquels la contribution mensuelle due par B.E.________ en faveur de A.E.________ doit être fixée à 3'871 fr. (3'268 + 603), arrondie à 3'880 francs (consid. 4), vu le courrier du conseil de A.E.________ du 25 juillet 2014, vu les autres pièces du dossier; attendu que selon l'art. 334 al. 1 CPC (Code de procédure civile suisse du 19 décembre 2008; RS 272),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qu'en l'espèce la requête remplit les réquisits de l'art. 334 al. 1 in fine CPC, que le montant de la pension mensuelle due par B.E.________ en faveur de A.E.________, née [...], dès le 1 er avril 2013 est en réalité fixée à 3'880 francs, que le chiffre II du dispositif de l’arrêt rendu le 16 juin 2014, qui mentionne une pension mensuelle de 3'220 fr., est entaché d’une erreur manifeste, qu'il convient donc, en application de l'art. 334 al. 1 CPC et compte tenu de l'erreur constatée, de corriger le chiffre II du dispositif dans le sens des considérants qui précèdent ; attendu qu'en présence d'une erreur d'écriture, il n'y a pas lieu de requérir les déterminations des parties en application de l'art. 334 al. 2 CPC; attendu que le présent arrêt doit être rendu sans frais judiciaires en application de l'art. 107 al. 2 CPC dès lors que ceux-ci ne sont pas imputables aux parties. Par ces motifs, le juge délégué de la Cour d’appel civile du Tribunal cantonal, statuant à huis clos, prononce : I. Le chiffre II du dispositif de l’arrêt rendu le 16 juin 2014 est modifié comme il suit : « II. L’ordonnance est réformée comme suit au chiffre V de son dispositif : V. Astreint B.E.________ à contribuer à l’entretien de A.E.________, née [...], par le versement d’une pension mensuelle de 3'880 fr. (trois mille huit cent huitante francs), payable d’avance le premier de chaque mois en mains de A.E.________, née [...], dès le 1 er avril 2013, sous déduction des montants déjà versés à ce jour. L’ordonnance est confirmée pour le surplus. » II. Le présent prononcé, rendu sans frais judiciaires, est exécutoire. Le juge délégué : La greffière : Du L'arrêt qui précède, dont la rédaction a été approuvée à huis clos, est notifié à : ‑ Me Frank-Olivier Karlen, (pour A.E.________, née [...]), ‑ Me Franck Ammann, (pour B.E.________).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