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 vom 23. November 2012</w:t>
      </w:r>
    </w:p>
    <w:p>
      <w:r>
        <w:t>VD Tribunal cantonal, 2012-11-23, FR</w:t>
      </w:r>
    </w:p>
    <w:p>
      <w:r>
        <w:rPr>
          <w:b/>
        </w:rPr>
        <w:t xml:space="preserve">Quelle: </w:t>
      </w:r>
      <w:r>
        <w:t>https://mcp.opencaselaw.ch/entscheid/vd_findinfo_Pron___2014___4</w:t>
      </w:r>
    </w:p>
    <w:p>
      <w:r>
        <w:t>FR: VD_FINDINFO Pron / 2014 / 4 du 23 novembre 2012</w:t>
      </w:r>
    </w:p>
    <w:p>
      <w:r>
        <w:t>IT: VD_FINDINFO Pron / 2014 / 4 del 23 novembre 2012</w:t>
      </w:r>
    </w:p>
    <w:p>
      <w:pPr>
        <w:pStyle w:val="Heading2"/>
      </w:pPr>
      <w:r>
        <w:t>Regeste</w:t>
      </w:r>
    </w:p>
    <w:p>
      <w:r>
        <w:t>RECTIFICATION DE LA DÉCISION, REJET DE LA DEMANDE | 334 CPC (CH)</w:t>
      </w:r>
    </w:p>
    <w:p>
      <w:pPr>
        <w:pStyle w:val="Heading2"/>
      </w:pPr>
      <w:r>
        <w:t>Volltext</w:t>
      </w:r>
    </w:p>
    <w:p>
      <w:r>
        <w:t>Vaud Tribunal cantonal Cour d'appel civile 03.02.2014 (publié) Pron / 2014 / 4</w:t>
      </w:r>
    </w:p>
    <w:p>
      <w:r>
        <w:t>RECTIFICATION DE LA DÉCISION, REJET DE LA DEMANDE | 334 CPC (CH)</w:t>
      </w:r>
    </w:p>
    <w:p>
      <w:r>
        <w:t>TRIBUNAL CANTONAL TU06.020326-121591/121593 8 JUGE DELEGUE DE LA cour d’appel CIVILE __________________________________________________________ Arrêt du _____________________ Présidence de               M. Winzap , juge délégué Greffière :              Mme Robyr ***** Art. 334 CPC Vu l'arrêt du 23 novembre 2012, envoyé pour notification aux parties le 28 février 2013, par lequel la Cour d'appel civile du Tribunal cantonal a admis partiellement l'appel de C.________ , à Lutry, rejeté l'appel de H.________ , à Etoy (I), et réformé l'ordonnance de mesures provisionnelles rendue le 20 août 2012 par le Président du Tribunal civil de l'arrondissement de La Côte à son chiffre II comme il suit: "attribue la jouissance du petit appartement de [...], à C.________, dès le 23 novembre 2010" (II), vu la requête en rectification déposée le 6 décembre 2013 par C.________, faisant valoir qu'elle a intenté en Espagne une procédure d'exécution forcée du chiffre II du dispositif, que le juge espagnol a refusé d'y donner suite au motif que la désignation de l'appartement de [...] est contradictoire et incertaine et demandant dès lors que le chiffre II du dispositif soit complété par la désignation de l'immeuble figurant au Registre foncier, vu la lettre de H.________ du 9 décembre 2013, vu les nouvelles pièces produites par C.________ le même jour, vu les déterminations de H.________ du 6 janvier 2014, par lesquelles celui-ci a conclu, avec suite de dépens, au rejet de la requête en rectification, en faisant valoir que l'erreur invoquée était imputable à une partie et non à l'autorité ayant rédigé la décision, vu les autres pièces du dossier;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qu'il y a donc lieu à rectification lorsqu'une erreur patente est manifestement due à une inadvertance (Schweizer, op. cit., n. 11 ad art. 334 CPC), qu'en l'espèce, la désignation de l'immeuble dont la rectification – ou le complètement – est requise ne comporte pas d'erreur manifeste susceptible d'être rectifiée en application de l'art. 334 CPC, qu'il ressort de la procédure que l'immeuble en question a toujours été désigné de la sorte, que l'arrêt motivé précise d'ailleurs à son chiffre 7 que l'appelante a requis la correction du chiffre II du dispositif de l'ordonnance attaquée en ce sens que le petit appartement de [...], qu'au vu des pièces au dossier, la Cour d'appel civile a donné suite à cette requête et modifié le numéro de la rue dans le sens demandé, que la teneur du chiffre II du dispositif de l'arrêt du 23 novembre 2012 correspond ainsi à la volonté de la cour qui a statué, qu'au demeurant, si on devait admettre que la désignation de l'appartement est incomplète, cette erreur n'est pas imputable à l'autorité et ne saurait dès lors être corrigée par le biais d'un rectificatif, les conditions de l'art. 334 CPC n'étant pas réunies; attendu que le présent prononcé peut être rendu sans frais (art. 6 al. 3 TFJC [Tarif du 28 septembre 2010 des frais judiciaires civils, RSV 270.11.5]), que la requérante, qui succombe, versera à l'intimé la somme de 300 fr. à titre de dépens (art. 95, 106 al. 1 CPC), Par ces motifs, le juge délégué de la Cour d’appel civile du Tribunal cantonal, statuant à huis clos, prononce : I. La requête de rectification est rejetée. II. La requérante C.________ doit verser à l'intimé H.________ la somme de 300 fr. (trois cents francs) à titre de dépens. III. Le présent prononcé, rendu sans frais, est exécutoire. Le juge délégué : La greffière : Du L'arrêt qui précède, dont la rédaction a été approuvée à huis clos, est notifié à : ‑ Me Jonathan Rey (pour C.________), ‑ Me Olivier Rodondi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