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35 vom 25. April 2014</w:t>
      </w:r>
    </w:p>
    <w:p>
      <w:r>
        <w:t>VD Tribunal cantonal, 2014-04-25, FR</w:t>
      </w:r>
    </w:p>
    <w:p>
      <w:r>
        <w:rPr>
          <w:b/>
        </w:rPr>
        <w:t xml:space="preserve">Quelle: </w:t>
      </w:r>
      <w:r>
        <w:t>https://mcp.opencaselaw.ch/entscheid/vd_findinfo_Pron___2014___35</w:t>
      </w:r>
    </w:p>
    <w:p>
      <w:r>
        <w:t>FR: VD_FINDINFO Pron / 2014 / 35 du 25 avril 2014</w:t>
      </w:r>
    </w:p>
    <w:p>
      <w:r>
        <w:t>IT: VD_FINDINFO Pron / 2014 / 35 del 25 aprile 2014</w:t>
      </w:r>
    </w:p>
    <w:p>
      <w:pPr>
        <w:pStyle w:val="Heading2"/>
      </w:pPr>
      <w:r>
        <w:t>Regeste</w:t>
      </w:r>
    </w:p>
    <w:p>
      <w:r>
        <w:t>RECONSIDÉRATION, PROCÈS DEVENU SANS OBJET, CURATEUR | 450 CC, 450d al. 2 CC, 242 CPC (CH)</w:t>
      </w:r>
    </w:p>
    <w:p>
      <w:pPr>
        <w:pStyle w:val="Heading2"/>
      </w:pPr>
      <w:r>
        <w:t>Erwägungen</w:t>
      </w:r>
    </w:p>
    <w:p>
      <w:r>
        <w:rPr>
          <w:b/>
        </w:rPr>
        <w:t>E. 1</w:t>
      </w:r>
    </w:p>
    <w:p>
      <w:r>
        <w:t>Par décision du 5 février 2014, envoyée pour notification aux parties le 28 mars 2014, la Justice de paix du district de l'Ouest lausannois a notamment institué une curatelle de représentation et de gestion au sens des art. 394 al. 1 et 395 al. 1 CC (Code civil suisse du 10 décembre 1907, RS 210) en faveur d'J.________ (II) et nommé C.________ en qualité de curateur (III). Par acte du 8 avril 2014, C.________ a interjeté recours contre cette décision, concluant à sa réforme en ce sens qu'il n'est pas désigné en qualité de curateur d'J.________. Par lettre du 17 avril 2014, la justice de paix a informé la Chambre des curatelles qu'elle entendait reconsidérer sa décision dans sa séance du 7 mai 2014.</w:t>
      </w:r>
    </w:p>
    <w:p>
      <w:r>
        <w:rPr>
          <w:b/>
        </w:rPr>
        <w:t>E. 2</w:t>
      </w:r>
    </w:p>
    <w:p>
      <w:r>
        <w:t>Contre la décision désignant un curateur,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L'existence d'un intérêt juridique de la partie recourante est une condition de recevabilité de tout recours, y compris en procédure non contentieuse (ATF 127 III 429 c. 1b ; 118 II 108 c. 2c). En l'espèce, la justice de paix entend reconsidérer sa décision (art. 450d al. 2 CC), de sorte qu'elle accepte manifestement de libérer le recourant de son mandat de curateur. Le recours de celui-ci devient dès lors sans objet. Il convient d’en prendre acte et de rayer la cause du rôle (cf. art. 242 CPC [Code de procédure civile du 19 décembre 2008, RS 272], applicable par renvoi de l'art. 450f CC; Reusser, Basler Kommentar, Erwachsenenschutz, 2012, n. 29 ad art. 450d CC, p. 662; Tappy, CPC commenté, Bâle 2011, n. 5 ad art. 242 CPC, p. 943), ce qui relève de la compétence du Juge délégué de la Chambre des curatelles (art. 43 al. 1 let. d CDPJ [Code de droit privé judiciaire vaudois du 12 janvier 2010, RSV 211.02]).</w:t>
      </w:r>
    </w:p>
    <w:p>
      <w:r>
        <w:rPr>
          <w:b/>
        </w:rPr>
        <w:t>E. 3</w:t>
      </w:r>
    </w:p>
    <w:p>
      <w:r>
        <w:t>Le présent arrêt peut être rendu sans frais judiciaires (art. 74a al. 4 TFJC [Tarif du 28 septembre 2010 des frais judiciaires civils, RSV 270.11.5]). Par ces motifs, le Juge délégué de la Chambre des curatelles du Tribunal cantonal, statuant à huis clos, prononce : I. Le recours est sans objet. II. La cause est rayée du rôle. III. L’arrêt, rendu sans frais judiciaires, est exécutoire. Le juge délégué : La greffière : Du L'arrêt qui précède, dont la rédaction a été approuvée à huis clos, est notifié à : ‑ M. C.________, ‑ M. J.________, et communiqué à : ‑ Justice de paix du district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